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1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6"/>
      </w:tblGrid>
      <w:tr w:rsidR="00441EF2" w:rsidRPr="00BF7BF8" w14:paraId="155D32DE" w14:textId="77777777" w:rsidTr="002D050F">
        <w:tc>
          <w:tcPr>
            <w:tcW w:w="10016" w:type="dxa"/>
            <w:shd w:val="pct20" w:color="auto" w:fill="auto"/>
            <w:tcMar>
              <w:top w:w="57" w:type="dxa"/>
              <w:bottom w:w="57" w:type="dxa"/>
            </w:tcMar>
          </w:tcPr>
          <w:p w14:paraId="41B69ACB" w14:textId="47FB9F7E" w:rsidR="00441EF2" w:rsidRPr="00BF7BF8" w:rsidRDefault="007D24EB" w:rsidP="000632EE">
            <w:pPr>
              <w:keepNext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RSH</w:t>
            </w:r>
            <w:r w:rsidR="00D6535F" w:rsidRPr="00BF7BF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41EF2" w:rsidRPr="00BF7BF8">
              <w:rPr>
                <w:rFonts w:cs="Arial"/>
                <w:b/>
                <w:sz w:val="22"/>
                <w:szCs w:val="22"/>
              </w:rPr>
              <w:t>ROLE PROFILE</w:t>
            </w:r>
          </w:p>
        </w:tc>
      </w:tr>
    </w:tbl>
    <w:p w14:paraId="33752F50" w14:textId="77777777" w:rsidR="00441EF2" w:rsidRPr="00BF7BF8" w:rsidRDefault="00441EF2" w:rsidP="000632EE">
      <w:pPr>
        <w:keepNext/>
        <w:spacing w:line="276" w:lineRule="auto"/>
        <w:jc w:val="both"/>
        <w:rPr>
          <w:rFonts w:cs="Arial"/>
          <w:sz w:val="22"/>
          <w:szCs w:val="22"/>
        </w:rPr>
      </w:pPr>
    </w:p>
    <w:tbl>
      <w:tblPr>
        <w:tblW w:w="1001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3420"/>
        <w:gridCol w:w="1440"/>
        <w:gridCol w:w="3420"/>
      </w:tblGrid>
      <w:tr w:rsidR="00441EF2" w:rsidRPr="00BF7BF8" w14:paraId="1DEA0C2A" w14:textId="77777777" w:rsidTr="002D050F">
        <w:tc>
          <w:tcPr>
            <w:tcW w:w="1736" w:type="dxa"/>
            <w:shd w:val="pct20" w:color="auto" w:fill="auto"/>
            <w:tcMar>
              <w:top w:w="57" w:type="dxa"/>
              <w:bottom w:w="57" w:type="dxa"/>
            </w:tcMar>
            <w:vAlign w:val="center"/>
          </w:tcPr>
          <w:p w14:paraId="31A4E089" w14:textId="77777777" w:rsidR="00441EF2" w:rsidRPr="00BF7BF8" w:rsidRDefault="00D6535F" w:rsidP="000632EE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Role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  <w:vAlign w:val="center"/>
          </w:tcPr>
          <w:p w14:paraId="1D46C4C2" w14:textId="25E1CD05" w:rsidR="00441EF2" w:rsidRPr="00BF7BF8" w:rsidRDefault="00513244" w:rsidP="000632EE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>Senior Registrations Advis</w:t>
            </w:r>
            <w:r w:rsidR="006E7DCB">
              <w:rPr>
                <w:rFonts w:cs="Arial"/>
                <w:sz w:val="22"/>
                <w:szCs w:val="22"/>
              </w:rPr>
              <w:t>o</w:t>
            </w:r>
            <w:r w:rsidRPr="00BF7BF8">
              <w:rPr>
                <w:rFonts w:cs="Arial"/>
                <w:sz w:val="22"/>
                <w:szCs w:val="22"/>
              </w:rPr>
              <w:t>r</w:t>
            </w:r>
          </w:p>
        </w:tc>
        <w:tc>
          <w:tcPr>
            <w:tcW w:w="1440" w:type="dxa"/>
            <w:shd w:val="pct20" w:color="auto" w:fill="auto"/>
            <w:tcMar>
              <w:top w:w="57" w:type="dxa"/>
              <w:bottom w:w="57" w:type="dxa"/>
            </w:tcMar>
            <w:vAlign w:val="center"/>
          </w:tcPr>
          <w:p w14:paraId="3EF709EA" w14:textId="77777777" w:rsidR="00441EF2" w:rsidRPr="00BF7BF8" w:rsidRDefault="00D6535F" w:rsidP="000632EE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Directorate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  <w:vAlign w:val="center"/>
          </w:tcPr>
          <w:p w14:paraId="26441BC5" w14:textId="6255B75F" w:rsidR="00441EF2" w:rsidRPr="00BF7BF8" w:rsidRDefault="00181839" w:rsidP="000632EE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Regulatory Engagement </w:t>
            </w:r>
          </w:p>
        </w:tc>
      </w:tr>
      <w:tr w:rsidR="00441EF2" w:rsidRPr="00BF7BF8" w14:paraId="3D5FF20C" w14:textId="77777777" w:rsidTr="002D050F">
        <w:tc>
          <w:tcPr>
            <w:tcW w:w="1736" w:type="dxa"/>
            <w:shd w:val="pct20" w:color="auto" w:fill="auto"/>
            <w:tcMar>
              <w:top w:w="57" w:type="dxa"/>
              <w:bottom w:w="57" w:type="dxa"/>
            </w:tcMar>
            <w:vAlign w:val="center"/>
          </w:tcPr>
          <w:p w14:paraId="36E1788E" w14:textId="77777777" w:rsidR="00441EF2" w:rsidRPr="00BF7BF8" w:rsidRDefault="00D6535F" w:rsidP="000632EE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  <w:vAlign w:val="center"/>
          </w:tcPr>
          <w:p w14:paraId="02DABC80" w14:textId="3B90B2FB" w:rsidR="00441EF2" w:rsidRPr="00BF7BF8" w:rsidRDefault="00884204" w:rsidP="000632EE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Head of Registrations</w:t>
            </w:r>
          </w:p>
        </w:tc>
        <w:tc>
          <w:tcPr>
            <w:tcW w:w="1440" w:type="dxa"/>
            <w:shd w:val="pct20" w:color="auto" w:fill="auto"/>
            <w:tcMar>
              <w:top w:w="57" w:type="dxa"/>
              <w:bottom w:w="57" w:type="dxa"/>
            </w:tcMar>
            <w:vAlign w:val="center"/>
          </w:tcPr>
          <w:p w14:paraId="1C7E36F8" w14:textId="77777777" w:rsidR="00441EF2" w:rsidRPr="00BF7BF8" w:rsidRDefault="004B2AC5" w:rsidP="000632EE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Section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  <w:vAlign w:val="center"/>
          </w:tcPr>
          <w:p w14:paraId="310F91FA" w14:textId="262ED114" w:rsidR="00441EF2" w:rsidRPr="00BF7BF8" w:rsidRDefault="00D56CFC" w:rsidP="000632EE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>Registrations</w:t>
            </w:r>
            <w:r w:rsidR="00884204">
              <w:rPr>
                <w:rFonts w:cs="Arial"/>
                <w:sz w:val="22"/>
                <w:szCs w:val="22"/>
              </w:rPr>
              <w:t xml:space="preserve"> and New Entrants</w:t>
            </w:r>
            <w:r w:rsidR="005F4252">
              <w:rPr>
                <w:rFonts w:cs="Arial"/>
                <w:sz w:val="22"/>
                <w:szCs w:val="22"/>
              </w:rPr>
              <w:t xml:space="preserve"> Team </w:t>
            </w:r>
          </w:p>
        </w:tc>
      </w:tr>
      <w:tr w:rsidR="004B2AC5" w:rsidRPr="00BF7BF8" w14:paraId="297563F7" w14:textId="77777777" w:rsidTr="002D050F">
        <w:tc>
          <w:tcPr>
            <w:tcW w:w="1736" w:type="dxa"/>
            <w:shd w:val="pct20" w:color="auto" w:fill="auto"/>
            <w:tcMar>
              <w:top w:w="57" w:type="dxa"/>
              <w:bottom w:w="57" w:type="dxa"/>
            </w:tcMar>
            <w:vAlign w:val="center"/>
          </w:tcPr>
          <w:p w14:paraId="24D5821D" w14:textId="77777777" w:rsidR="004B2AC5" w:rsidRPr="00BF7BF8" w:rsidRDefault="004B2AC5" w:rsidP="000632EE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Post Reference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  <w:vAlign w:val="center"/>
          </w:tcPr>
          <w:p w14:paraId="2DED5E84" w14:textId="034A1C37" w:rsidR="004B2AC5" w:rsidRPr="00BF7BF8" w:rsidRDefault="00F04627" w:rsidP="000632EE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pct20" w:color="auto" w:fill="auto"/>
            <w:tcMar>
              <w:top w:w="57" w:type="dxa"/>
              <w:bottom w:w="57" w:type="dxa"/>
            </w:tcMar>
            <w:vAlign w:val="center"/>
          </w:tcPr>
          <w:p w14:paraId="064FA87A" w14:textId="77777777" w:rsidR="004B2AC5" w:rsidRPr="00BF7BF8" w:rsidRDefault="004B2AC5" w:rsidP="000632EE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Grade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  <w:vAlign w:val="center"/>
          </w:tcPr>
          <w:p w14:paraId="38FEFE7A" w14:textId="77777777" w:rsidR="004B2AC5" w:rsidRPr="00BF7BF8" w:rsidRDefault="008729DC" w:rsidP="0051324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  <w:bookmarkStart w:id="0" w:name="Dropdown3"/>
            <w:r w:rsidRPr="00BF7BF8">
              <w:rPr>
                <w:rFonts w:cs="Arial"/>
                <w:sz w:val="22"/>
                <w:szCs w:val="22"/>
              </w:rPr>
              <w:t xml:space="preserve">Hay Level </w:t>
            </w:r>
            <w:bookmarkEnd w:id="0"/>
            <w:r w:rsidR="00513244" w:rsidRPr="00BF7BF8">
              <w:rPr>
                <w:rFonts w:cs="Arial"/>
                <w:sz w:val="22"/>
                <w:szCs w:val="22"/>
              </w:rPr>
              <w:t>18</w:t>
            </w:r>
          </w:p>
        </w:tc>
      </w:tr>
    </w:tbl>
    <w:p w14:paraId="1788C5D0" w14:textId="77777777" w:rsidR="00441EF2" w:rsidRPr="00BF7BF8" w:rsidRDefault="00441EF2" w:rsidP="000632EE">
      <w:pPr>
        <w:keepNext/>
        <w:spacing w:line="276" w:lineRule="auto"/>
        <w:jc w:val="both"/>
        <w:rPr>
          <w:rFonts w:cs="Arial"/>
          <w:sz w:val="22"/>
          <w:szCs w:val="22"/>
        </w:rPr>
      </w:pPr>
    </w:p>
    <w:tbl>
      <w:tblPr>
        <w:tblW w:w="1001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6"/>
      </w:tblGrid>
      <w:tr w:rsidR="00D6535F" w:rsidRPr="00BF7BF8" w14:paraId="3487BA82" w14:textId="77777777" w:rsidTr="27CE01E6">
        <w:tc>
          <w:tcPr>
            <w:tcW w:w="10016" w:type="dxa"/>
            <w:shd w:val="clear" w:color="auto" w:fill="auto"/>
            <w:tcMar>
              <w:top w:w="57" w:type="dxa"/>
              <w:bottom w:w="57" w:type="dxa"/>
            </w:tcMar>
          </w:tcPr>
          <w:p w14:paraId="6BF1C10B" w14:textId="50173FFB" w:rsidR="00D6535F" w:rsidRPr="000752B3" w:rsidRDefault="00D6535F" w:rsidP="000632EE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Purpose of the Role</w:t>
            </w:r>
          </w:p>
        </w:tc>
      </w:tr>
      <w:tr w:rsidR="00D6535F" w:rsidRPr="00BF7BF8" w14:paraId="240EF5F8" w14:textId="77777777" w:rsidTr="27CE01E6">
        <w:trPr>
          <w:trHeight w:val="2450"/>
        </w:trPr>
        <w:tc>
          <w:tcPr>
            <w:tcW w:w="10016" w:type="dxa"/>
            <w:tcMar>
              <w:top w:w="57" w:type="dxa"/>
              <w:bottom w:w="57" w:type="dxa"/>
            </w:tcMar>
          </w:tcPr>
          <w:p w14:paraId="0EB9C57E" w14:textId="5320EC02" w:rsidR="00C5308B" w:rsidRPr="00C1357E" w:rsidRDefault="00513244" w:rsidP="00513244">
            <w:pPr>
              <w:pStyle w:val="Default"/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27CE01E6">
              <w:rPr>
                <w:rFonts w:ascii="Arial" w:hAnsi="Arial" w:cs="Arial"/>
                <w:sz w:val="22"/>
                <w:szCs w:val="22"/>
              </w:rPr>
              <w:t>The Senior Registrations Advis</w:t>
            </w:r>
            <w:r w:rsidR="00AF3D0C" w:rsidRPr="27CE01E6">
              <w:rPr>
                <w:rFonts w:ascii="Arial" w:hAnsi="Arial" w:cs="Arial"/>
                <w:sz w:val="22"/>
                <w:szCs w:val="22"/>
              </w:rPr>
              <w:t>e</w:t>
            </w:r>
            <w:r w:rsidRPr="27CE01E6">
              <w:rPr>
                <w:rFonts w:ascii="Arial" w:hAnsi="Arial" w:cs="Arial"/>
                <w:sz w:val="22"/>
                <w:szCs w:val="22"/>
              </w:rPr>
              <w:t xml:space="preserve">r (SRA) leads and manages </w:t>
            </w:r>
            <w:r w:rsidR="6DA1F920" w:rsidRPr="27CE01E6">
              <w:rPr>
                <w:rFonts w:ascii="Arial" w:hAnsi="Arial" w:cs="Arial"/>
                <w:sz w:val="22"/>
                <w:szCs w:val="22"/>
              </w:rPr>
              <w:t xml:space="preserve">the assessment of </w:t>
            </w:r>
            <w:r w:rsidRPr="27CE01E6">
              <w:rPr>
                <w:rFonts w:ascii="Arial" w:hAnsi="Arial" w:cs="Arial"/>
                <w:sz w:val="22"/>
                <w:szCs w:val="22"/>
              </w:rPr>
              <w:t xml:space="preserve">an assigned portfolio of profit making and not for profit registration applicants with the objective of determining whether they </w:t>
            </w:r>
            <w:r w:rsidR="00527733" w:rsidRPr="27CE01E6">
              <w:rPr>
                <w:rFonts w:ascii="Arial" w:hAnsi="Arial" w:cs="Arial"/>
                <w:sz w:val="22"/>
                <w:szCs w:val="22"/>
              </w:rPr>
              <w:t>are</w:t>
            </w:r>
            <w:r w:rsidR="00025E13" w:rsidRPr="27CE01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973" w:rsidRPr="27CE01E6">
              <w:rPr>
                <w:rFonts w:ascii="Arial" w:hAnsi="Arial" w:cs="Arial"/>
                <w:sz w:val="22"/>
                <w:szCs w:val="22"/>
              </w:rPr>
              <w:t>eligib</w:t>
            </w:r>
            <w:r w:rsidR="00527733" w:rsidRPr="27CE01E6">
              <w:rPr>
                <w:rFonts w:ascii="Arial" w:hAnsi="Arial" w:cs="Arial"/>
                <w:sz w:val="22"/>
                <w:szCs w:val="22"/>
              </w:rPr>
              <w:t>le</w:t>
            </w:r>
            <w:r w:rsidR="00136973" w:rsidRPr="27CE01E6">
              <w:rPr>
                <w:rFonts w:ascii="Arial" w:hAnsi="Arial" w:cs="Arial"/>
                <w:sz w:val="22"/>
                <w:szCs w:val="22"/>
              </w:rPr>
              <w:t xml:space="preserve"> for registration</w:t>
            </w:r>
            <w:r w:rsidRPr="27CE01E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7AB2469" w14:textId="77777777" w:rsidR="005D0F79" w:rsidRPr="00C1357E" w:rsidRDefault="00513244" w:rsidP="00513244">
            <w:pPr>
              <w:pStyle w:val="Default"/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5308B" w:rsidRPr="00C1357E">
              <w:rPr>
                <w:rFonts w:ascii="Arial" w:hAnsi="Arial" w:cs="Arial"/>
                <w:sz w:val="22"/>
                <w:szCs w:val="22"/>
              </w:rPr>
              <w:t>postholder</w:t>
            </w:r>
            <w:r w:rsidRPr="00C1357E">
              <w:rPr>
                <w:rFonts w:ascii="Arial" w:hAnsi="Arial" w:cs="Arial"/>
                <w:sz w:val="22"/>
                <w:szCs w:val="22"/>
              </w:rPr>
              <w:t xml:space="preserve"> is responsible for identifying applications that present novel</w:t>
            </w:r>
            <w:r w:rsidR="009C37A0" w:rsidRPr="00C1357E">
              <w:rPr>
                <w:rFonts w:ascii="Arial" w:hAnsi="Arial" w:cs="Arial"/>
                <w:sz w:val="22"/>
                <w:szCs w:val="22"/>
              </w:rPr>
              <w:t>, complex</w:t>
            </w:r>
            <w:r w:rsidRPr="00C1357E">
              <w:rPr>
                <w:rFonts w:ascii="Arial" w:hAnsi="Arial" w:cs="Arial"/>
                <w:sz w:val="22"/>
                <w:szCs w:val="22"/>
              </w:rPr>
              <w:t xml:space="preserve"> and contentious issues and for ensuring that these are managed in a way that recognises the sensitive and precedent setting nature of such applications.   </w:t>
            </w:r>
          </w:p>
          <w:p w14:paraId="79B15B78" w14:textId="310AEF3B" w:rsidR="00D6535F" w:rsidRPr="00BF7BF8" w:rsidRDefault="005D0F79" w:rsidP="008F3C7C">
            <w:pPr>
              <w:pStyle w:val="Default"/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 xml:space="preserve">The post holder </w:t>
            </w:r>
            <w:r w:rsidR="001B2928" w:rsidRPr="00C1357E">
              <w:rPr>
                <w:rFonts w:ascii="Arial" w:hAnsi="Arial" w:cs="Arial"/>
                <w:sz w:val="22"/>
                <w:szCs w:val="22"/>
              </w:rPr>
              <w:t xml:space="preserve">is responsible for </w:t>
            </w:r>
            <w:r w:rsidR="00D16912" w:rsidRPr="00C1357E">
              <w:rPr>
                <w:rFonts w:ascii="Arial" w:hAnsi="Arial" w:cs="Arial"/>
                <w:sz w:val="22"/>
                <w:szCs w:val="22"/>
              </w:rPr>
              <w:t>develop</w:t>
            </w:r>
            <w:r w:rsidR="004851BB" w:rsidRPr="00C1357E">
              <w:rPr>
                <w:rFonts w:ascii="Arial" w:hAnsi="Arial" w:cs="Arial"/>
                <w:sz w:val="22"/>
                <w:szCs w:val="22"/>
              </w:rPr>
              <w:t>ing</w:t>
            </w:r>
            <w:r w:rsidR="00D16912" w:rsidRPr="00C1357E">
              <w:rPr>
                <w:rFonts w:ascii="Arial" w:hAnsi="Arial" w:cs="Arial"/>
                <w:sz w:val="22"/>
                <w:szCs w:val="22"/>
              </w:rPr>
              <w:t xml:space="preserve"> and manag</w:t>
            </w:r>
            <w:r w:rsidR="004851BB" w:rsidRPr="00C1357E">
              <w:rPr>
                <w:rFonts w:ascii="Arial" w:hAnsi="Arial" w:cs="Arial"/>
                <w:sz w:val="22"/>
                <w:szCs w:val="22"/>
              </w:rPr>
              <w:t>ing</w:t>
            </w:r>
            <w:r w:rsidR="00D16912" w:rsidRPr="00C1357E">
              <w:rPr>
                <w:rFonts w:ascii="Arial" w:hAnsi="Arial" w:cs="Arial"/>
                <w:sz w:val="22"/>
                <w:szCs w:val="22"/>
              </w:rPr>
              <w:t xml:space="preserve"> effective stakeholder relationships at senior levels with applicants, legal advisors and consultants, and external agencies</w:t>
            </w:r>
            <w:r w:rsidR="00E430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tbl>
      <w:tblPr>
        <w:tblpPr w:leftFromText="180" w:rightFromText="180" w:vertAnchor="text" w:horzAnchor="margin" w:tblpY="625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7"/>
      </w:tblGrid>
      <w:tr w:rsidR="00A238B7" w:rsidRPr="00BF7BF8" w14:paraId="0D070B8C" w14:textId="77777777" w:rsidTr="002D050F">
        <w:trPr>
          <w:trHeight w:val="23"/>
        </w:trPr>
        <w:tc>
          <w:tcPr>
            <w:tcW w:w="10057" w:type="dxa"/>
            <w:shd w:val="pct20" w:color="auto" w:fill="auto"/>
            <w:tcMar>
              <w:top w:w="57" w:type="dxa"/>
              <w:bottom w:w="57" w:type="dxa"/>
            </w:tcMar>
          </w:tcPr>
          <w:p w14:paraId="591EC8B7" w14:textId="38DB2153" w:rsidR="00A238B7" w:rsidRPr="000752B3" w:rsidRDefault="00A238B7" w:rsidP="00A238B7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  <w:r w:rsidRPr="00BF7BF8">
              <w:rPr>
                <w:rFonts w:cs="Arial"/>
                <w:b/>
                <w:sz w:val="22"/>
                <w:szCs w:val="22"/>
              </w:rPr>
              <w:t>ain Duties and Key Accountabilities of the jobholder</w:t>
            </w:r>
          </w:p>
        </w:tc>
      </w:tr>
      <w:tr w:rsidR="00A238B7" w:rsidRPr="00BF7BF8" w14:paraId="58A8FCBE" w14:textId="77777777" w:rsidTr="00053AFC">
        <w:trPr>
          <w:trHeight w:val="5736"/>
        </w:trPr>
        <w:tc>
          <w:tcPr>
            <w:tcW w:w="10057" w:type="dxa"/>
            <w:tcMar>
              <w:top w:w="57" w:type="dxa"/>
              <w:bottom w:w="57" w:type="dxa"/>
            </w:tcMar>
          </w:tcPr>
          <w:p w14:paraId="6252ACE2" w14:textId="77777777" w:rsidR="00A238B7" w:rsidRPr="00BF7BF8" w:rsidRDefault="00A238B7" w:rsidP="00A238B7">
            <w:pPr>
              <w:pStyle w:val="Default"/>
              <w:keepNext/>
              <w:spacing w:beforeLines="40" w:before="96" w:afterLines="40" w:after="96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BF7BF8">
              <w:rPr>
                <w:rFonts w:ascii="Arial" w:hAnsi="Arial" w:cs="Arial"/>
                <w:b/>
                <w:sz w:val="22"/>
                <w:szCs w:val="22"/>
              </w:rPr>
              <w:t>ey accountabilities</w:t>
            </w:r>
          </w:p>
          <w:p w14:paraId="0E09D75A" w14:textId="77777777" w:rsidR="00F61D20" w:rsidRPr="00C1357E" w:rsidRDefault="00A238B7" w:rsidP="00A238B7">
            <w:pPr>
              <w:pStyle w:val="Default"/>
              <w:keepNext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 xml:space="preserve">To lead and manage the registration of an assigned portfolio of profit making and not for profit registration applicants with the objective of determining whether they meet the RSH’s registration criteria. </w:t>
            </w:r>
          </w:p>
          <w:p w14:paraId="6F003080" w14:textId="1F7E03A6" w:rsidR="00E43037" w:rsidRDefault="00A238B7" w:rsidP="00A238B7">
            <w:pPr>
              <w:pStyle w:val="Default"/>
              <w:keepNext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61D20" w:rsidRPr="00C1357E">
              <w:rPr>
                <w:rFonts w:ascii="Arial" w:hAnsi="Arial" w:cs="Arial"/>
                <w:sz w:val="22"/>
                <w:szCs w:val="22"/>
              </w:rPr>
              <w:t>post holder</w:t>
            </w:r>
            <w:r w:rsidRPr="00C1357E">
              <w:rPr>
                <w:rFonts w:ascii="Arial" w:hAnsi="Arial" w:cs="Arial"/>
                <w:sz w:val="22"/>
                <w:szCs w:val="22"/>
              </w:rPr>
              <w:t xml:space="preserve"> is responsible for </w:t>
            </w:r>
            <w:r w:rsidR="00BF0C51">
              <w:rPr>
                <w:rFonts w:ascii="Arial" w:hAnsi="Arial" w:cs="Arial"/>
                <w:sz w:val="22"/>
                <w:szCs w:val="22"/>
              </w:rPr>
              <w:t xml:space="preserve">undertaking risk based </w:t>
            </w:r>
            <w:r w:rsidR="00E43037">
              <w:rPr>
                <w:rFonts w:ascii="Arial" w:hAnsi="Arial" w:cs="Arial"/>
                <w:sz w:val="22"/>
                <w:szCs w:val="22"/>
              </w:rPr>
              <w:t xml:space="preserve">bespoke </w:t>
            </w:r>
            <w:r w:rsidR="00BF0C51">
              <w:rPr>
                <w:rFonts w:ascii="Arial" w:hAnsi="Arial" w:cs="Arial"/>
                <w:sz w:val="22"/>
                <w:szCs w:val="22"/>
              </w:rPr>
              <w:t xml:space="preserve">assessments </w:t>
            </w:r>
            <w:r w:rsidR="00E43037">
              <w:rPr>
                <w:rFonts w:ascii="Arial" w:hAnsi="Arial" w:cs="Arial"/>
                <w:sz w:val="22"/>
                <w:szCs w:val="22"/>
              </w:rPr>
              <w:t>appropriate to the characteristics of each applicant against the regulatory standards to reach a conclusion</w:t>
            </w:r>
          </w:p>
          <w:p w14:paraId="18BF4EB1" w14:textId="0B88707F" w:rsidR="00A238B7" w:rsidRPr="00C1357E" w:rsidRDefault="00E43037" w:rsidP="00A238B7">
            <w:pPr>
              <w:pStyle w:val="Default"/>
              <w:keepNext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A238B7" w:rsidRPr="00C1357E">
              <w:rPr>
                <w:rFonts w:ascii="Arial" w:hAnsi="Arial" w:cs="Arial"/>
                <w:sz w:val="22"/>
                <w:szCs w:val="22"/>
              </w:rPr>
              <w:t>identify applications that present novel</w:t>
            </w:r>
            <w:r w:rsidR="00F75F7B" w:rsidRPr="00C1357E">
              <w:rPr>
                <w:rFonts w:ascii="Arial" w:hAnsi="Arial" w:cs="Arial"/>
                <w:sz w:val="22"/>
                <w:szCs w:val="22"/>
              </w:rPr>
              <w:t>,</w:t>
            </w:r>
            <w:r w:rsidR="00D23C9C" w:rsidRPr="00C13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5F7B" w:rsidRPr="00C1357E">
              <w:rPr>
                <w:rFonts w:ascii="Arial" w:hAnsi="Arial" w:cs="Arial"/>
                <w:sz w:val="22"/>
                <w:szCs w:val="22"/>
              </w:rPr>
              <w:t>complex</w:t>
            </w:r>
            <w:r w:rsidR="00A238B7" w:rsidRPr="00C1357E">
              <w:rPr>
                <w:rFonts w:ascii="Arial" w:hAnsi="Arial" w:cs="Arial"/>
                <w:sz w:val="22"/>
                <w:szCs w:val="22"/>
              </w:rPr>
              <w:t xml:space="preserve"> and contentious issues and for ensuring that these are managed in a way that recognises the sensitive and precedent setting nature of such applications   </w:t>
            </w:r>
          </w:p>
          <w:p w14:paraId="01BF0776" w14:textId="77777777" w:rsidR="008B10AA" w:rsidRDefault="00D73AAC" w:rsidP="00A238B7">
            <w:pPr>
              <w:pStyle w:val="ListParagraph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C1357E">
              <w:rPr>
                <w:rFonts w:cs="Arial"/>
                <w:color w:val="000000"/>
                <w:sz w:val="22"/>
                <w:szCs w:val="22"/>
              </w:rPr>
              <w:t xml:space="preserve">To </w:t>
            </w:r>
            <w:r w:rsidR="00B27A61" w:rsidRPr="00C1357E">
              <w:rPr>
                <w:rFonts w:cs="Arial"/>
                <w:color w:val="000000"/>
                <w:sz w:val="22"/>
                <w:szCs w:val="22"/>
              </w:rPr>
              <w:t xml:space="preserve">develop and </w:t>
            </w:r>
            <w:r w:rsidRPr="00C1357E">
              <w:rPr>
                <w:rFonts w:cs="Arial"/>
                <w:color w:val="000000"/>
                <w:sz w:val="22"/>
                <w:szCs w:val="22"/>
              </w:rPr>
              <w:t xml:space="preserve">manage </w:t>
            </w:r>
            <w:r w:rsidR="004178DD" w:rsidRPr="00C1357E">
              <w:rPr>
                <w:rFonts w:cs="Arial"/>
                <w:color w:val="000000"/>
                <w:sz w:val="22"/>
                <w:szCs w:val="22"/>
              </w:rPr>
              <w:t xml:space="preserve">effective </w:t>
            </w:r>
            <w:r w:rsidR="00797DC4" w:rsidRPr="00C1357E">
              <w:rPr>
                <w:rFonts w:cs="Arial"/>
                <w:color w:val="000000"/>
                <w:sz w:val="22"/>
                <w:szCs w:val="22"/>
              </w:rPr>
              <w:t xml:space="preserve">stakeholder </w:t>
            </w:r>
            <w:r w:rsidR="004178DD" w:rsidRPr="00C1357E">
              <w:rPr>
                <w:rFonts w:cs="Arial"/>
                <w:color w:val="000000"/>
                <w:sz w:val="22"/>
                <w:szCs w:val="22"/>
              </w:rPr>
              <w:t xml:space="preserve">relationships </w:t>
            </w:r>
            <w:r w:rsidR="00797DC4" w:rsidRPr="00C1357E">
              <w:rPr>
                <w:rFonts w:cs="Arial"/>
                <w:color w:val="000000"/>
                <w:sz w:val="22"/>
                <w:szCs w:val="22"/>
              </w:rPr>
              <w:t>at senior leve</w:t>
            </w:r>
            <w:r w:rsidR="005F173A" w:rsidRPr="00C1357E">
              <w:rPr>
                <w:rFonts w:cs="Arial"/>
                <w:color w:val="000000"/>
                <w:sz w:val="22"/>
                <w:szCs w:val="22"/>
              </w:rPr>
              <w:t>l</w:t>
            </w:r>
            <w:r w:rsidR="00797DC4" w:rsidRPr="00C1357E">
              <w:rPr>
                <w:rFonts w:cs="Arial"/>
                <w:color w:val="000000"/>
                <w:sz w:val="22"/>
                <w:szCs w:val="22"/>
              </w:rPr>
              <w:t xml:space="preserve">s with </w:t>
            </w:r>
            <w:r w:rsidR="005F173A" w:rsidRPr="00C1357E">
              <w:rPr>
                <w:rFonts w:cs="Arial"/>
                <w:color w:val="000000"/>
                <w:sz w:val="22"/>
                <w:szCs w:val="22"/>
              </w:rPr>
              <w:t xml:space="preserve">applicants, </w:t>
            </w:r>
            <w:r w:rsidR="008B15B3" w:rsidRPr="00C1357E">
              <w:rPr>
                <w:rFonts w:cs="Arial"/>
                <w:color w:val="000000"/>
                <w:sz w:val="22"/>
                <w:szCs w:val="22"/>
              </w:rPr>
              <w:t xml:space="preserve">legal </w:t>
            </w:r>
            <w:r w:rsidR="005F173A" w:rsidRPr="00C1357E">
              <w:rPr>
                <w:rFonts w:cs="Arial"/>
                <w:color w:val="000000"/>
                <w:sz w:val="22"/>
                <w:szCs w:val="22"/>
              </w:rPr>
              <w:t>advisors</w:t>
            </w:r>
            <w:r w:rsidR="008B15B3" w:rsidRPr="00C1357E">
              <w:rPr>
                <w:rFonts w:cs="Arial"/>
                <w:color w:val="000000"/>
                <w:sz w:val="22"/>
                <w:szCs w:val="22"/>
              </w:rPr>
              <w:t xml:space="preserve"> and </w:t>
            </w:r>
            <w:r w:rsidR="00604333" w:rsidRPr="00C1357E">
              <w:rPr>
                <w:rFonts w:cs="Arial"/>
                <w:color w:val="000000"/>
                <w:sz w:val="22"/>
                <w:szCs w:val="22"/>
              </w:rPr>
              <w:t>consultants</w:t>
            </w:r>
            <w:r w:rsidR="008B15B3" w:rsidRPr="00C1357E">
              <w:rPr>
                <w:rFonts w:cs="Arial"/>
                <w:color w:val="000000"/>
                <w:sz w:val="22"/>
                <w:szCs w:val="22"/>
              </w:rPr>
              <w:t>,</w:t>
            </w:r>
            <w:r w:rsidR="005F173A" w:rsidRPr="00C1357E">
              <w:rPr>
                <w:rFonts w:cs="Arial"/>
                <w:color w:val="000000"/>
                <w:sz w:val="22"/>
                <w:szCs w:val="22"/>
              </w:rPr>
              <w:t xml:space="preserve"> and external </w:t>
            </w:r>
            <w:r w:rsidR="00090FDA" w:rsidRPr="00C1357E">
              <w:rPr>
                <w:rFonts w:cs="Arial"/>
                <w:color w:val="000000"/>
                <w:sz w:val="22"/>
                <w:szCs w:val="22"/>
              </w:rPr>
              <w:t xml:space="preserve">agencies such as Homes England and the GLA </w:t>
            </w:r>
            <w:r w:rsidR="004178DD" w:rsidRPr="00C1357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6C2A7FF3" w14:textId="64651F12" w:rsidR="005C08CE" w:rsidRPr="00C1357E" w:rsidRDefault="008B10AA" w:rsidP="00A238B7">
            <w:pPr>
              <w:pStyle w:val="ListParagraph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03255C">
              <w:rPr>
                <w:rFonts w:cs="Arial"/>
                <w:sz w:val="22"/>
                <w:szCs w:val="22"/>
              </w:rPr>
              <w:t xml:space="preserve">To contribute to the development of the </w:t>
            </w:r>
            <w:r w:rsidR="00C80D98">
              <w:rPr>
                <w:rFonts w:cs="Arial"/>
                <w:sz w:val="22"/>
                <w:szCs w:val="22"/>
              </w:rPr>
              <w:t xml:space="preserve">corporate </w:t>
            </w:r>
            <w:r w:rsidRPr="0003255C">
              <w:rPr>
                <w:rFonts w:cs="Arial"/>
                <w:sz w:val="22"/>
                <w:szCs w:val="22"/>
              </w:rPr>
              <w:t xml:space="preserve">approach to </w:t>
            </w:r>
            <w:r>
              <w:rPr>
                <w:rFonts w:cs="Arial"/>
                <w:sz w:val="22"/>
                <w:szCs w:val="22"/>
              </w:rPr>
              <w:t>registration</w:t>
            </w:r>
            <w:r w:rsidR="00ED3FC7">
              <w:rPr>
                <w:rFonts w:cs="Arial"/>
                <w:sz w:val="22"/>
                <w:szCs w:val="22"/>
              </w:rPr>
              <w:t xml:space="preserve"> as it responds to </w:t>
            </w:r>
            <w:r w:rsidR="00176189">
              <w:rPr>
                <w:rFonts w:cs="Arial"/>
                <w:sz w:val="22"/>
                <w:szCs w:val="22"/>
              </w:rPr>
              <w:t>emerging risks</w:t>
            </w:r>
            <w:r w:rsidRPr="0003255C">
              <w:rPr>
                <w:rFonts w:cs="Arial"/>
                <w:sz w:val="22"/>
                <w:szCs w:val="22"/>
              </w:rPr>
              <w:t>, working with the Assurance</w:t>
            </w:r>
            <w:r w:rsidR="003A3AEE">
              <w:rPr>
                <w:rFonts w:cs="Arial"/>
                <w:sz w:val="22"/>
                <w:szCs w:val="22"/>
              </w:rPr>
              <w:t>, Legal</w:t>
            </w:r>
            <w:r w:rsidR="00A27FAB">
              <w:rPr>
                <w:rFonts w:cs="Arial"/>
                <w:sz w:val="22"/>
                <w:szCs w:val="22"/>
              </w:rPr>
              <w:t>,</w:t>
            </w:r>
            <w:r w:rsidRPr="0003255C">
              <w:rPr>
                <w:rFonts w:cs="Arial"/>
                <w:sz w:val="22"/>
                <w:szCs w:val="22"/>
              </w:rPr>
              <w:t xml:space="preserve"> Policy</w:t>
            </w:r>
            <w:r w:rsidR="00A27FAB">
              <w:rPr>
                <w:rFonts w:cs="Arial"/>
                <w:sz w:val="22"/>
                <w:szCs w:val="22"/>
              </w:rPr>
              <w:t>, and Regulatory Engagement</w:t>
            </w:r>
            <w:r w:rsidRPr="0003255C">
              <w:rPr>
                <w:rFonts w:cs="Arial"/>
                <w:sz w:val="22"/>
                <w:szCs w:val="22"/>
              </w:rPr>
              <w:t xml:space="preserve"> Team</w:t>
            </w:r>
            <w:r w:rsidR="00C80D98">
              <w:rPr>
                <w:rFonts w:cs="Arial"/>
                <w:sz w:val="22"/>
                <w:szCs w:val="22"/>
              </w:rPr>
              <w:t>s</w:t>
            </w:r>
            <w:r w:rsidRPr="0003255C">
              <w:rPr>
                <w:rFonts w:cs="Arial"/>
                <w:sz w:val="22"/>
                <w:szCs w:val="22"/>
              </w:rPr>
              <w:t xml:space="preserve"> as appropriate</w:t>
            </w:r>
            <w:r w:rsidR="00D73AAC" w:rsidRPr="00C1357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678C5FD8" w14:textId="79C4FC35" w:rsidR="00A238B7" w:rsidRPr="00C1357E" w:rsidRDefault="00A238B7" w:rsidP="00A238B7">
            <w:pPr>
              <w:pStyle w:val="ListParagraph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C1357E">
              <w:rPr>
                <w:rFonts w:cs="Arial"/>
                <w:color w:val="000000"/>
                <w:sz w:val="22"/>
                <w:szCs w:val="22"/>
              </w:rPr>
              <w:t xml:space="preserve">To be </w:t>
            </w:r>
            <w:r w:rsidR="004541F8" w:rsidRPr="00C1357E">
              <w:rPr>
                <w:rFonts w:cs="Arial"/>
                <w:color w:val="000000"/>
                <w:sz w:val="22"/>
                <w:szCs w:val="22"/>
              </w:rPr>
              <w:t>a</w:t>
            </w:r>
            <w:r w:rsidRPr="00C1357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B7C12" w:rsidRPr="00C1357E">
              <w:rPr>
                <w:rFonts w:cs="Arial"/>
                <w:color w:val="000000"/>
                <w:sz w:val="22"/>
                <w:szCs w:val="22"/>
              </w:rPr>
              <w:t xml:space="preserve">technical and </w:t>
            </w:r>
            <w:r w:rsidRPr="00C1357E">
              <w:rPr>
                <w:rFonts w:cs="Arial"/>
                <w:color w:val="000000"/>
                <w:sz w:val="22"/>
                <w:szCs w:val="22"/>
              </w:rPr>
              <w:t xml:space="preserve">financial </w:t>
            </w:r>
            <w:r w:rsidR="008B7C12" w:rsidRPr="00C1357E">
              <w:rPr>
                <w:rFonts w:cs="Arial"/>
                <w:color w:val="000000"/>
                <w:sz w:val="22"/>
                <w:szCs w:val="22"/>
              </w:rPr>
              <w:t>specialist</w:t>
            </w:r>
            <w:r w:rsidR="006448DC" w:rsidRPr="00C1357E">
              <w:rPr>
                <w:rFonts w:cs="Arial"/>
                <w:color w:val="000000"/>
                <w:sz w:val="22"/>
                <w:szCs w:val="22"/>
              </w:rPr>
              <w:t xml:space="preserve">, providing expert advice </w:t>
            </w:r>
            <w:r w:rsidR="00C30682" w:rsidRPr="00C1357E">
              <w:rPr>
                <w:rFonts w:cs="Arial"/>
                <w:color w:val="000000"/>
                <w:sz w:val="22"/>
                <w:szCs w:val="22"/>
              </w:rPr>
              <w:t xml:space="preserve">both </w:t>
            </w:r>
            <w:r w:rsidR="006448DC" w:rsidRPr="00C1357E">
              <w:rPr>
                <w:rFonts w:cs="Arial"/>
                <w:color w:val="000000"/>
                <w:sz w:val="22"/>
                <w:szCs w:val="22"/>
              </w:rPr>
              <w:t>internally and externally</w:t>
            </w:r>
            <w:r w:rsidR="00964F13" w:rsidRPr="00C1357E">
              <w:rPr>
                <w:rFonts w:cs="Arial"/>
                <w:color w:val="000000"/>
                <w:sz w:val="22"/>
                <w:szCs w:val="22"/>
              </w:rPr>
              <w:t>,</w:t>
            </w:r>
            <w:r w:rsidR="006448DC" w:rsidRPr="00C1357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C1357E">
              <w:rPr>
                <w:rFonts w:cs="Arial"/>
                <w:color w:val="000000"/>
                <w:sz w:val="22"/>
                <w:szCs w:val="22"/>
              </w:rPr>
              <w:t xml:space="preserve">for the Registration </w:t>
            </w:r>
            <w:r w:rsidR="001946E1">
              <w:rPr>
                <w:rFonts w:cs="Arial"/>
                <w:color w:val="000000"/>
                <w:sz w:val="22"/>
                <w:szCs w:val="22"/>
              </w:rPr>
              <w:t>Team</w:t>
            </w:r>
            <w:r w:rsidRPr="00C1357E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6C8937AB" w14:textId="77777777" w:rsidR="00560671" w:rsidRPr="00C1357E" w:rsidRDefault="00560671" w:rsidP="00560671">
            <w:pPr>
              <w:pStyle w:val="ListParagraph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C1357E">
              <w:rPr>
                <w:rFonts w:cs="Arial"/>
                <w:sz w:val="22"/>
                <w:szCs w:val="22"/>
              </w:rPr>
              <w:t>Manage/supervise the team that supports the Senior Registrations Advisers in undertaking assessments of applications for registration</w:t>
            </w:r>
            <w:r w:rsidRPr="00C1357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027A2881" w14:textId="77777777" w:rsidR="00A238B7" w:rsidRPr="00C1357E" w:rsidRDefault="00A238B7" w:rsidP="00A238B7">
            <w:pPr>
              <w:keepNext/>
              <w:spacing w:beforeLines="40" w:before="96" w:afterLines="40" w:after="96" w:line="276" w:lineRule="auto"/>
              <w:rPr>
                <w:rFonts w:cs="Arial"/>
                <w:b/>
                <w:sz w:val="22"/>
                <w:szCs w:val="22"/>
              </w:rPr>
            </w:pPr>
            <w:r w:rsidRPr="00C1357E">
              <w:rPr>
                <w:rFonts w:cs="Arial"/>
                <w:b/>
                <w:sz w:val="22"/>
                <w:szCs w:val="22"/>
              </w:rPr>
              <w:t>Main duties</w:t>
            </w:r>
          </w:p>
          <w:p w14:paraId="23708254" w14:textId="5834157F" w:rsidR="00A238B7" w:rsidRDefault="00A238B7" w:rsidP="00A238B7">
            <w:pPr>
              <w:pStyle w:val="Default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 xml:space="preserve">Manage and lead on </w:t>
            </w:r>
            <w:r w:rsidR="006476A1">
              <w:rPr>
                <w:rFonts w:ascii="Arial" w:hAnsi="Arial" w:cs="Arial"/>
                <w:sz w:val="22"/>
                <w:szCs w:val="22"/>
              </w:rPr>
              <w:t xml:space="preserve">registration casework across </w:t>
            </w:r>
            <w:r w:rsidRPr="00C1357E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6476A1">
              <w:rPr>
                <w:rFonts w:ascii="Arial" w:hAnsi="Arial" w:cs="Arial"/>
                <w:sz w:val="22"/>
                <w:szCs w:val="22"/>
              </w:rPr>
              <w:t xml:space="preserve">types of </w:t>
            </w:r>
            <w:r w:rsidR="00E15304" w:rsidRPr="00C1357E">
              <w:rPr>
                <w:rFonts w:ascii="Arial" w:hAnsi="Arial" w:cs="Arial"/>
                <w:sz w:val="22"/>
                <w:szCs w:val="22"/>
              </w:rPr>
              <w:t>applicants</w:t>
            </w:r>
            <w:r w:rsidR="00E15304">
              <w:rPr>
                <w:rFonts w:ascii="Arial" w:hAnsi="Arial" w:cs="Arial"/>
                <w:sz w:val="22"/>
                <w:szCs w:val="22"/>
              </w:rPr>
              <w:t xml:space="preserve"> and across</w:t>
            </w:r>
            <w:r w:rsidR="006476A1">
              <w:rPr>
                <w:rFonts w:ascii="Arial" w:hAnsi="Arial" w:cs="Arial"/>
                <w:sz w:val="22"/>
                <w:szCs w:val="22"/>
              </w:rPr>
              <w:t xml:space="preserve"> all of the registration criteria</w:t>
            </w:r>
            <w:r w:rsidRPr="00C1357E">
              <w:rPr>
                <w:rFonts w:ascii="Arial" w:hAnsi="Arial" w:cs="Arial"/>
                <w:sz w:val="22"/>
                <w:szCs w:val="22"/>
              </w:rPr>
              <w:t xml:space="preserve">, engaging with applicants at </w:t>
            </w:r>
            <w:r w:rsidR="000823DC">
              <w:rPr>
                <w:rFonts w:ascii="Arial" w:hAnsi="Arial" w:cs="Arial"/>
                <w:sz w:val="22"/>
                <w:szCs w:val="22"/>
              </w:rPr>
              <w:t xml:space="preserve">CEO, </w:t>
            </w:r>
            <w:r w:rsidRPr="00C1357E"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r w:rsidR="002A2DC0" w:rsidRPr="00C1357E">
              <w:rPr>
                <w:rFonts w:ascii="Arial" w:hAnsi="Arial" w:cs="Arial"/>
                <w:sz w:val="22"/>
                <w:szCs w:val="22"/>
              </w:rPr>
              <w:t xml:space="preserve">and Board </w:t>
            </w:r>
            <w:r w:rsidRPr="00C1357E">
              <w:rPr>
                <w:rFonts w:ascii="Arial" w:hAnsi="Arial" w:cs="Arial"/>
                <w:sz w:val="22"/>
                <w:szCs w:val="22"/>
              </w:rPr>
              <w:t>level and with their advisers</w:t>
            </w:r>
            <w:r w:rsidR="00E153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6C681F" w14:textId="49DDD6CE" w:rsidR="00E15304" w:rsidRPr="00CD4EFE" w:rsidRDefault="00831394" w:rsidP="00A238B7">
            <w:pPr>
              <w:pStyle w:val="Default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</w:t>
            </w:r>
            <w:r w:rsidR="00E15304" w:rsidRPr="00CD4EFE">
              <w:rPr>
                <w:rFonts w:ascii="Arial" w:hAnsi="Arial" w:cs="Arial"/>
                <w:sz w:val="22"/>
                <w:szCs w:val="22"/>
              </w:rPr>
              <w:t>anag</w:t>
            </w:r>
            <w:r w:rsidR="00BC6713">
              <w:rPr>
                <w:rFonts w:ascii="Arial" w:hAnsi="Arial" w:cs="Arial"/>
                <w:sz w:val="22"/>
                <w:szCs w:val="22"/>
              </w:rPr>
              <w:t>e</w:t>
            </w:r>
            <w:r w:rsidR="009E7A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59E7">
              <w:rPr>
                <w:rFonts w:ascii="Arial" w:hAnsi="Arial" w:cs="Arial"/>
                <w:sz w:val="22"/>
                <w:szCs w:val="22"/>
              </w:rPr>
              <w:t xml:space="preserve">effective </w:t>
            </w:r>
            <w:r w:rsidR="00E15304" w:rsidRPr="00CD4EFE">
              <w:rPr>
                <w:rFonts w:ascii="Arial" w:hAnsi="Arial" w:cs="Arial"/>
                <w:sz w:val="22"/>
                <w:szCs w:val="22"/>
              </w:rPr>
              <w:t xml:space="preserve">evidence gathering </w:t>
            </w:r>
            <w:r w:rsidR="009D4738">
              <w:rPr>
                <w:rFonts w:ascii="Arial" w:hAnsi="Arial" w:cs="Arial"/>
                <w:sz w:val="22"/>
                <w:szCs w:val="22"/>
              </w:rPr>
              <w:t xml:space="preserve">and assurance </w:t>
            </w:r>
            <w:r w:rsidR="00E15304" w:rsidRPr="00CD4EFE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15FA5">
              <w:rPr>
                <w:rFonts w:ascii="Arial" w:hAnsi="Arial" w:cs="Arial"/>
                <w:sz w:val="22"/>
                <w:szCs w:val="22"/>
              </w:rPr>
              <w:t>support decision making. W</w:t>
            </w:r>
            <w:r w:rsidR="00E15304">
              <w:rPr>
                <w:rFonts w:ascii="Arial" w:hAnsi="Arial" w:cs="Arial"/>
                <w:sz w:val="22"/>
                <w:szCs w:val="22"/>
              </w:rPr>
              <w:t xml:space="preserve">here this </w:t>
            </w:r>
            <w:r w:rsidR="00815FA5">
              <w:rPr>
                <w:rFonts w:ascii="Arial" w:hAnsi="Arial" w:cs="Arial"/>
                <w:sz w:val="22"/>
                <w:szCs w:val="22"/>
              </w:rPr>
              <w:t>results in a</w:t>
            </w:r>
            <w:r w:rsidR="00E15304" w:rsidRPr="00CD4E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FA5" w:rsidRPr="00815FA5">
              <w:rPr>
                <w:rFonts w:ascii="Arial" w:hAnsi="Arial" w:cs="Arial"/>
                <w:sz w:val="22"/>
                <w:szCs w:val="22"/>
              </w:rPr>
              <w:t>refus</w:t>
            </w:r>
            <w:r w:rsidR="00815FA5">
              <w:rPr>
                <w:rFonts w:ascii="Arial" w:hAnsi="Arial" w:cs="Arial"/>
                <w:sz w:val="22"/>
                <w:szCs w:val="22"/>
              </w:rPr>
              <w:t>al, ensure there is</w:t>
            </w:r>
            <w:r w:rsidR="00E15304" w:rsidRPr="00CD4EFE">
              <w:rPr>
                <w:rFonts w:ascii="Arial" w:hAnsi="Arial" w:cs="Arial"/>
                <w:sz w:val="22"/>
                <w:szCs w:val="22"/>
              </w:rPr>
              <w:t xml:space="preserve"> well articulated and documented </w:t>
            </w:r>
            <w:r w:rsidR="009E7A7E">
              <w:rPr>
                <w:rFonts w:ascii="Arial" w:hAnsi="Arial" w:cs="Arial"/>
                <w:sz w:val="22"/>
                <w:szCs w:val="22"/>
              </w:rPr>
              <w:t xml:space="preserve">audit </w:t>
            </w:r>
            <w:r w:rsidR="006A659C">
              <w:rPr>
                <w:rFonts w:ascii="Arial" w:hAnsi="Arial" w:cs="Arial"/>
                <w:sz w:val="22"/>
                <w:szCs w:val="22"/>
              </w:rPr>
              <w:t xml:space="preserve">trail </w:t>
            </w:r>
            <w:r w:rsidR="009E7A7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15304" w:rsidRPr="00CD4EFE">
              <w:rPr>
                <w:rFonts w:ascii="Arial" w:hAnsi="Arial" w:cs="Arial"/>
                <w:sz w:val="22"/>
                <w:szCs w:val="22"/>
              </w:rPr>
              <w:t xml:space="preserve">evidence to </w:t>
            </w:r>
            <w:r w:rsidR="00815FA5">
              <w:rPr>
                <w:rFonts w:ascii="Arial" w:hAnsi="Arial" w:cs="Arial"/>
                <w:sz w:val="22"/>
                <w:szCs w:val="22"/>
              </w:rPr>
              <w:t>minimise risks to the regulator</w:t>
            </w:r>
            <w:r w:rsidR="00E15304" w:rsidRPr="00CD4E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44A377" w14:textId="3C5A5F9C" w:rsidR="00A238B7" w:rsidRPr="00C1357E" w:rsidRDefault="00A238B7" w:rsidP="00A238B7">
            <w:pPr>
              <w:pStyle w:val="Default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 xml:space="preserve">Analyse and assess applicants' compliance with the registration criteria and ability to meet the regulatory framework, and </w:t>
            </w:r>
            <w:r w:rsidR="00255A33">
              <w:rPr>
                <w:rFonts w:ascii="Arial" w:hAnsi="Arial" w:cs="Arial"/>
                <w:sz w:val="22"/>
                <w:szCs w:val="22"/>
              </w:rPr>
              <w:t>assess</w:t>
            </w:r>
            <w:r w:rsidR="000D6CED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C1357E">
              <w:rPr>
                <w:rFonts w:ascii="Arial" w:hAnsi="Arial" w:cs="Arial"/>
                <w:sz w:val="22"/>
                <w:szCs w:val="22"/>
              </w:rPr>
              <w:t xml:space="preserve"> adequacy of business plans,</w:t>
            </w:r>
            <w:r w:rsidR="00E14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9B5">
              <w:rPr>
                <w:rFonts w:ascii="Arial" w:hAnsi="Arial" w:cs="Arial"/>
                <w:sz w:val="22"/>
                <w:szCs w:val="22"/>
              </w:rPr>
              <w:t>risk</w:t>
            </w:r>
            <w:r w:rsidR="00E14143">
              <w:rPr>
                <w:rFonts w:ascii="Arial" w:hAnsi="Arial" w:cs="Arial"/>
                <w:sz w:val="22"/>
                <w:szCs w:val="22"/>
              </w:rPr>
              <w:t xml:space="preserve"> management and control frameworks</w:t>
            </w:r>
            <w:r w:rsidR="00255A33">
              <w:rPr>
                <w:rFonts w:ascii="Arial" w:hAnsi="Arial" w:cs="Arial"/>
                <w:sz w:val="22"/>
                <w:szCs w:val="22"/>
              </w:rPr>
              <w:t>,</w:t>
            </w:r>
            <w:r w:rsidR="00F77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357E">
              <w:rPr>
                <w:rFonts w:ascii="Arial" w:hAnsi="Arial" w:cs="Arial"/>
                <w:sz w:val="22"/>
                <w:szCs w:val="22"/>
              </w:rPr>
              <w:t xml:space="preserve">financial modelling and funding arrangements. </w:t>
            </w:r>
          </w:p>
          <w:p w14:paraId="217B8BB4" w14:textId="145A604A" w:rsidR="00922259" w:rsidRPr="00C1357E" w:rsidRDefault="00922259" w:rsidP="00A238B7">
            <w:pPr>
              <w:pStyle w:val="Default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 xml:space="preserve">Develop and manage effective stakeholder relationships at senior levels with applicants, legal advisors and consultants, and external agencies such as Homes England and the GLA   </w:t>
            </w:r>
          </w:p>
          <w:p w14:paraId="1E8CE7AE" w14:textId="00BB0355" w:rsidR="00A238B7" w:rsidRPr="00C1357E" w:rsidRDefault="00A238B7" w:rsidP="00A238B7">
            <w:pPr>
              <w:pStyle w:val="Default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>Manage/supervise the team that supports the Senior Registrations Advisers in undertaking assessments of applications for registration.</w:t>
            </w:r>
          </w:p>
          <w:p w14:paraId="1A84C84C" w14:textId="77777777" w:rsidR="00A238B7" w:rsidRPr="00C1357E" w:rsidRDefault="00A238B7" w:rsidP="00A238B7">
            <w:pPr>
              <w:pStyle w:val="Default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>Prepare and present reports to Regulation Executive and Registration Advisory Committee as required. Identify and analyse new issues on registrations and report and make recommendations to the Registrar as required.</w:t>
            </w:r>
          </w:p>
          <w:p w14:paraId="525C85AC" w14:textId="7D65F9EF" w:rsidR="00E500F1" w:rsidRDefault="00042C2F" w:rsidP="00E500F1">
            <w:pPr>
              <w:pStyle w:val="Default"/>
              <w:keepNext/>
              <w:numPr>
                <w:ilvl w:val="0"/>
                <w:numId w:val="8"/>
              </w:numPr>
              <w:spacing w:beforeLines="40" w:before="96" w:afterLines="40" w:after="96" w:line="276" w:lineRule="auto"/>
              <w:rPr>
                <w:rFonts w:ascii="Arial" w:hAnsi="Arial" w:cs="Arial"/>
                <w:sz w:val="22"/>
                <w:szCs w:val="22"/>
              </w:rPr>
            </w:pPr>
            <w:r w:rsidRPr="00C1357E">
              <w:rPr>
                <w:rFonts w:ascii="Arial" w:hAnsi="Arial" w:cs="Arial"/>
                <w:sz w:val="22"/>
                <w:szCs w:val="22"/>
              </w:rPr>
              <w:t xml:space="preserve">Apply corporate approaches to quality assurance and control consistently and ensure that all </w:t>
            </w:r>
            <w:r w:rsidR="00CA20E4" w:rsidRPr="00C1357E">
              <w:rPr>
                <w:rFonts w:ascii="Arial" w:hAnsi="Arial" w:cs="Arial"/>
                <w:sz w:val="22"/>
                <w:szCs w:val="22"/>
              </w:rPr>
              <w:t xml:space="preserve">outputs meet </w:t>
            </w:r>
            <w:r w:rsidR="00F90728" w:rsidRPr="00C1357E">
              <w:rPr>
                <w:rFonts w:ascii="Arial" w:hAnsi="Arial" w:cs="Arial"/>
                <w:sz w:val="22"/>
                <w:szCs w:val="22"/>
              </w:rPr>
              <w:t xml:space="preserve">agreed quality </w:t>
            </w:r>
            <w:r w:rsidR="001F1DBF" w:rsidRPr="00C1357E">
              <w:rPr>
                <w:rFonts w:ascii="Arial" w:hAnsi="Arial" w:cs="Arial"/>
                <w:sz w:val="22"/>
                <w:szCs w:val="22"/>
              </w:rPr>
              <w:t>standards</w:t>
            </w:r>
            <w:r w:rsidR="00CA20E4" w:rsidRPr="00C135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061FB0" w14:textId="25DEA3C6" w:rsidR="00C70276" w:rsidRPr="0003255C" w:rsidRDefault="00C70276" w:rsidP="00C70276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255C">
              <w:rPr>
                <w:rFonts w:ascii="Arial" w:hAnsi="Arial" w:cs="Arial"/>
                <w:sz w:val="22"/>
                <w:szCs w:val="22"/>
              </w:rPr>
              <w:t xml:space="preserve">To act as a credible representative of the regulator on </w:t>
            </w:r>
            <w:r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  <w:r w:rsidRPr="0003255C">
              <w:rPr>
                <w:rFonts w:ascii="Arial" w:hAnsi="Arial" w:cs="Arial"/>
                <w:sz w:val="22"/>
                <w:szCs w:val="22"/>
              </w:rPr>
              <w:t>issues, including speaking at external forums and in meetings with new or existing providers and applicants.</w:t>
            </w:r>
          </w:p>
          <w:p w14:paraId="6730DD5C" w14:textId="16C4A143" w:rsidR="00A238B7" w:rsidRPr="00053AFC" w:rsidRDefault="00A238B7" w:rsidP="00AD51B7">
            <w:pPr>
              <w:pStyle w:val="Default"/>
              <w:keepNext/>
              <w:spacing w:beforeLines="40" w:before="96" w:afterLines="40" w:after="96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832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D7BE3" w:rsidRPr="00BF7BF8" w14:paraId="4474CAE8" w14:textId="77777777" w:rsidTr="00AD51B7">
        <w:trPr>
          <w:trHeight w:val="327"/>
        </w:trPr>
        <w:tc>
          <w:tcPr>
            <w:tcW w:w="10065" w:type="dxa"/>
            <w:shd w:val="pct20" w:color="auto" w:fill="auto"/>
            <w:tcMar>
              <w:top w:w="57" w:type="dxa"/>
              <w:bottom w:w="57" w:type="dxa"/>
            </w:tcMar>
          </w:tcPr>
          <w:p w14:paraId="35EF9D5D" w14:textId="77777777" w:rsidR="00BD7BE3" w:rsidRPr="003215E8" w:rsidRDefault="00BD7BE3" w:rsidP="00AD51B7">
            <w:pPr>
              <w:keepNext/>
              <w:numPr>
                <w:ilvl w:val="12"/>
                <w:numId w:val="0"/>
              </w:num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Pr="00BF7BF8">
              <w:rPr>
                <w:rFonts w:cs="Arial"/>
                <w:b/>
                <w:sz w:val="22"/>
                <w:szCs w:val="22"/>
              </w:rPr>
              <w:t>Working Relationships and Contacts</w:t>
            </w:r>
          </w:p>
        </w:tc>
      </w:tr>
      <w:tr w:rsidR="00BD7BE3" w:rsidRPr="00BF7BF8" w14:paraId="32F5380A" w14:textId="77777777" w:rsidTr="00AD51B7">
        <w:trPr>
          <w:trHeight w:val="23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4F99031E" w14:textId="77777777" w:rsidR="00BD7BE3" w:rsidRPr="00BF7BF8" w:rsidRDefault="00BD7BE3" w:rsidP="00AD51B7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Internal Relationships:</w:t>
            </w:r>
          </w:p>
          <w:p w14:paraId="3C1971C3" w14:textId="77777777" w:rsidR="00BD7BE3" w:rsidRPr="00BF7BF8" w:rsidRDefault="00BD7BE3" w:rsidP="00AD51B7">
            <w:pPr>
              <w:keepNext/>
              <w:numPr>
                <w:ilvl w:val="0"/>
                <w:numId w:val="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 xml:space="preserve">Regulation Executive Team and Registration Advisory Committee </w:t>
            </w:r>
          </w:p>
          <w:p w14:paraId="372E13D7" w14:textId="7AD761DD" w:rsidR="00BD7BE3" w:rsidRPr="00BF7BF8" w:rsidRDefault="00BD7BE3" w:rsidP="00AD51B7">
            <w:pPr>
              <w:keepNext/>
              <w:numPr>
                <w:ilvl w:val="0"/>
                <w:numId w:val="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 xml:space="preserve">Colleagues across the </w:t>
            </w:r>
            <w:r>
              <w:rPr>
                <w:rFonts w:cs="Arial"/>
                <w:sz w:val="22"/>
                <w:szCs w:val="22"/>
              </w:rPr>
              <w:t>regulator including</w:t>
            </w:r>
            <w:r w:rsidRPr="00BF7BF8">
              <w:rPr>
                <w:rFonts w:cs="Arial"/>
                <w:sz w:val="22"/>
                <w:szCs w:val="22"/>
              </w:rPr>
              <w:t xml:space="preserve"> Investigation and Enforcement team</w:t>
            </w:r>
            <w:r>
              <w:rPr>
                <w:rFonts w:cs="Arial"/>
                <w:sz w:val="22"/>
                <w:szCs w:val="22"/>
              </w:rPr>
              <w:t>, Assurance team, Policy and</w:t>
            </w:r>
            <w:r w:rsidRPr="00BF7BF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L</w:t>
            </w:r>
            <w:r w:rsidRPr="00BF7BF8">
              <w:rPr>
                <w:rFonts w:cs="Arial"/>
                <w:sz w:val="22"/>
                <w:szCs w:val="22"/>
              </w:rPr>
              <w:t>egal team</w:t>
            </w:r>
            <w:r>
              <w:rPr>
                <w:rFonts w:cs="Arial"/>
                <w:sz w:val="22"/>
                <w:szCs w:val="22"/>
              </w:rPr>
              <w:t xml:space="preserve">, and </w:t>
            </w:r>
            <w:r w:rsidRPr="00BF7BF8">
              <w:rPr>
                <w:rFonts w:cs="Arial"/>
                <w:sz w:val="22"/>
                <w:szCs w:val="22"/>
              </w:rPr>
              <w:t xml:space="preserve">Regulatory </w:t>
            </w:r>
            <w:r w:rsidR="00321B15">
              <w:rPr>
                <w:rFonts w:cs="Arial"/>
                <w:sz w:val="22"/>
                <w:szCs w:val="22"/>
              </w:rPr>
              <w:t>Engagement</w:t>
            </w:r>
            <w:r w:rsidRPr="00BF7BF8">
              <w:rPr>
                <w:rFonts w:cs="Arial"/>
                <w:sz w:val="22"/>
                <w:szCs w:val="22"/>
              </w:rPr>
              <w:t xml:space="preserve"> teams</w:t>
            </w:r>
            <w:r>
              <w:rPr>
                <w:rFonts w:cs="Arial"/>
                <w:sz w:val="22"/>
                <w:szCs w:val="22"/>
              </w:rPr>
              <w:t>.</w:t>
            </w:r>
            <w:r w:rsidRPr="00BF7BF8">
              <w:rPr>
                <w:rFonts w:cs="Arial"/>
                <w:sz w:val="22"/>
                <w:szCs w:val="22"/>
              </w:rPr>
              <w:t xml:space="preserve">  </w:t>
            </w:r>
          </w:p>
          <w:p w14:paraId="7DBBFC50" w14:textId="77777777" w:rsidR="00BD7BE3" w:rsidRPr="00BF7BF8" w:rsidRDefault="00BD7BE3" w:rsidP="00AD51B7">
            <w:pPr>
              <w:keepNext/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</w:p>
          <w:p w14:paraId="2FCB87C4" w14:textId="77777777" w:rsidR="00BD7BE3" w:rsidRPr="00BF7BF8" w:rsidRDefault="00BD7BE3" w:rsidP="00AD51B7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External Relationships:</w:t>
            </w:r>
          </w:p>
          <w:p w14:paraId="2E244A0A" w14:textId="77777777" w:rsidR="00BD7BE3" w:rsidRPr="00BF7BF8" w:rsidRDefault="00BD7BE3" w:rsidP="00AD51B7">
            <w:pPr>
              <w:keepNext/>
              <w:numPr>
                <w:ilvl w:val="0"/>
                <w:numId w:val="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>Chief Executive</w:t>
            </w:r>
            <w:r>
              <w:rPr>
                <w:rFonts w:cs="Arial"/>
                <w:sz w:val="22"/>
                <w:szCs w:val="22"/>
              </w:rPr>
              <w:t>, Board members</w:t>
            </w:r>
            <w:r w:rsidRPr="00BF7BF8">
              <w:rPr>
                <w:rFonts w:cs="Arial"/>
                <w:sz w:val="22"/>
                <w:szCs w:val="22"/>
              </w:rPr>
              <w:t xml:space="preserve"> and senior management team of applicants for registration</w:t>
            </w:r>
          </w:p>
          <w:p w14:paraId="41392152" w14:textId="0350080F" w:rsidR="00BD7BE3" w:rsidRPr="00BF7BF8" w:rsidRDefault="00BD7BE3" w:rsidP="00AD51B7">
            <w:pPr>
              <w:keepNext/>
              <w:numPr>
                <w:ilvl w:val="0"/>
                <w:numId w:val="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MH</w:t>
            </w:r>
            <w:r w:rsidRPr="00BF7BF8">
              <w:rPr>
                <w:rFonts w:cs="Arial"/>
                <w:sz w:val="22"/>
                <w:szCs w:val="22"/>
              </w:rPr>
              <w:t>CLG</w:t>
            </w:r>
            <w:r>
              <w:rPr>
                <w:rFonts w:cs="Arial"/>
                <w:sz w:val="22"/>
                <w:szCs w:val="22"/>
              </w:rPr>
              <w:t>, Homes England and GLA</w:t>
            </w:r>
            <w:r w:rsidR="000558EF">
              <w:rPr>
                <w:rFonts w:cs="Arial"/>
                <w:sz w:val="22"/>
                <w:szCs w:val="22"/>
              </w:rPr>
              <w:t xml:space="preserve">, </w:t>
            </w:r>
            <w:r w:rsidR="00960543">
              <w:rPr>
                <w:rFonts w:cs="Arial"/>
                <w:sz w:val="22"/>
                <w:szCs w:val="22"/>
              </w:rPr>
              <w:t xml:space="preserve">and other </w:t>
            </w:r>
            <w:r w:rsidR="00613A6F">
              <w:rPr>
                <w:rFonts w:cs="Arial"/>
                <w:sz w:val="22"/>
                <w:szCs w:val="22"/>
              </w:rPr>
              <w:t>agencies</w:t>
            </w:r>
          </w:p>
          <w:p w14:paraId="47C02FC3" w14:textId="77777777" w:rsidR="00BD7BE3" w:rsidRPr="00BF7BF8" w:rsidRDefault="00BD7BE3" w:rsidP="00AD51B7">
            <w:pPr>
              <w:keepNext/>
              <w:numPr>
                <w:ilvl w:val="0"/>
                <w:numId w:val="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Professional </w:t>
            </w:r>
            <w:r w:rsidRPr="00BF7BF8">
              <w:rPr>
                <w:rFonts w:cs="Arial"/>
                <w:sz w:val="22"/>
                <w:szCs w:val="22"/>
              </w:rPr>
              <w:t>advisors</w:t>
            </w:r>
            <w:r>
              <w:rPr>
                <w:rFonts w:cs="Arial"/>
                <w:sz w:val="22"/>
                <w:szCs w:val="22"/>
              </w:rPr>
              <w:t>, including lawyers, funders, and consultants</w:t>
            </w:r>
          </w:p>
        </w:tc>
      </w:tr>
    </w:tbl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41EF2" w:rsidRPr="00BF7BF8" w14:paraId="0ABD4596" w14:textId="77777777" w:rsidTr="002D050F">
        <w:tc>
          <w:tcPr>
            <w:tcW w:w="10065" w:type="dxa"/>
            <w:shd w:val="pct20" w:color="auto" w:fill="auto"/>
            <w:tcMar>
              <w:top w:w="57" w:type="dxa"/>
              <w:bottom w:w="57" w:type="dxa"/>
            </w:tcMar>
          </w:tcPr>
          <w:p w14:paraId="39519B3D" w14:textId="3CD97821" w:rsidR="00055AF0" w:rsidRPr="003215E8" w:rsidRDefault="00055AF0" w:rsidP="000632EE">
            <w:pPr>
              <w:keepNext/>
              <w:numPr>
                <w:ilvl w:val="12"/>
                <w:numId w:val="0"/>
              </w:num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lastRenderedPageBreak/>
              <w:t>Role Requirements</w:t>
            </w:r>
          </w:p>
        </w:tc>
      </w:tr>
      <w:tr w:rsidR="00034C62" w:rsidRPr="00BF7BF8" w14:paraId="75E46105" w14:textId="77777777" w:rsidTr="00BD7BE3">
        <w:trPr>
          <w:trHeight w:val="9127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602E1345" w14:textId="0D1DE07C" w:rsidR="000F2906" w:rsidRPr="00BF7BF8" w:rsidRDefault="00034C62" w:rsidP="000632EE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Qualifications (academic and professional)</w:t>
            </w:r>
            <w:r w:rsidR="00880536" w:rsidRPr="00BF7BF8">
              <w:rPr>
                <w:rFonts w:cs="Arial"/>
                <w:b/>
                <w:sz w:val="22"/>
                <w:szCs w:val="22"/>
              </w:rPr>
              <w:t>:</w:t>
            </w:r>
          </w:p>
          <w:p w14:paraId="54140EB3" w14:textId="45696065" w:rsidR="00034C62" w:rsidRPr="00BF7BF8" w:rsidRDefault="00034C62" w:rsidP="002D050F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084B887" w14:textId="77777777" w:rsidR="008A034D" w:rsidRPr="008A034D" w:rsidRDefault="008A034D" w:rsidP="008842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8A034D">
              <w:rPr>
                <w:rFonts w:cs="Arial"/>
                <w:sz w:val="22"/>
                <w:szCs w:val="22"/>
              </w:rPr>
              <w:t xml:space="preserve">CCAB financial qualification or equivalent with a recognised competence and experience in financial regulation or financial management.  </w:t>
            </w:r>
          </w:p>
          <w:p w14:paraId="6ED93DF4" w14:textId="77777777" w:rsidR="001A35C3" w:rsidRPr="00BF7BF8" w:rsidRDefault="001A35C3" w:rsidP="000632EE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F2A9F05" w14:textId="1D28C054" w:rsidR="00880536" w:rsidRDefault="00880536" w:rsidP="000632EE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Knowledge, Skills &amp; Experience:</w:t>
            </w:r>
          </w:p>
          <w:p w14:paraId="3F6720EB" w14:textId="77777777" w:rsidR="000F2906" w:rsidRPr="00BF7BF8" w:rsidRDefault="000F2906" w:rsidP="000632EE">
            <w:pPr>
              <w:keepNext/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41235384" w14:textId="5BCD94DC" w:rsidR="0067716C" w:rsidRPr="00BF7BF8" w:rsidRDefault="008A034D" w:rsidP="00884204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BF7BF8">
              <w:rPr>
                <w:rFonts w:cs="Arial"/>
                <w:sz w:val="22"/>
                <w:szCs w:val="22"/>
              </w:rPr>
              <w:t xml:space="preserve"> </w:t>
            </w:r>
            <w:r w:rsidR="00325332">
              <w:rPr>
                <w:rFonts w:cs="Arial"/>
                <w:sz w:val="22"/>
                <w:szCs w:val="22"/>
              </w:rPr>
              <w:t xml:space="preserve">strong </w:t>
            </w:r>
            <w:r w:rsidR="0067716C" w:rsidRPr="00BF7BF8">
              <w:rPr>
                <w:rFonts w:cs="Arial"/>
                <w:sz w:val="22"/>
                <w:szCs w:val="22"/>
              </w:rPr>
              <w:t>track record of deliver</w:t>
            </w:r>
            <w:r>
              <w:rPr>
                <w:rFonts w:cs="Arial"/>
                <w:sz w:val="22"/>
                <w:szCs w:val="22"/>
              </w:rPr>
              <w:t>ing results</w:t>
            </w:r>
            <w:r w:rsidR="0067716C" w:rsidRPr="00BF7BF8">
              <w:rPr>
                <w:rFonts w:cs="Arial"/>
                <w:sz w:val="22"/>
                <w:szCs w:val="22"/>
              </w:rPr>
              <w:t xml:space="preserve"> in a </w:t>
            </w:r>
            <w:r w:rsidR="0036352E">
              <w:rPr>
                <w:rFonts w:cs="Arial"/>
                <w:sz w:val="22"/>
                <w:szCs w:val="22"/>
              </w:rPr>
              <w:t>managerial</w:t>
            </w:r>
            <w:r w:rsidR="00744C05">
              <w:rPr>
                <w:rFonts w:cs="Arial"/>
                <w:sz w:val="22"/>
                <w:szCs w:val="22"/>
              </w:rPr>
              <w:t xml:space="preserve"> </w:t>
            </w:r>
            <w:r w:rsidR="0067716C" w:rsidRPr="00BF7BF8">
              <w:rPr>
                <w:rFonts w:cs="Arial"/>
                <w:sz w:val="22"/>
                <w:szCs w:val="22"/>
              </w:rPr>
              <w:t>role in a regulator</w:t>
            </w:r>
            <w:r w:rsidR="00744C05">
              <w:rPr>
                <w:rFonts w:cs="Arial"/>
                <w:sz w:val="22"/>
                <w:szCs w:val="22"/>
              </w:rPr>
              <w:t>y</w:t>
            </w:r>
            <w:r w:rsidR="0067716C" w:rsidRPr="00BF7BF8">
              <w:rPr>
                <w:rFonts w:cs="Arial"/>
                <w:sz w:val="22"/>
                <w:szCs w:val="22"/>
              </w:rPr>
              <w:t xml:space="preserve"> environment</w:t>
            </w:r>
          </w:p>
          <w:p w14:paraId="2E603149" w14:textId="250EBB98" w:rsidR="00C136B1" w:rsidRDefault="00C136B1" w:rsidP="00884204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>Recognised experience in registration</w:t>
            </w:r>
            <w:r w:rsidR="00884204">
              <w:rPr>
                <w:rFonts w:cs="Arial"/>
                <w:sz w:val="22"/>
                <w:szCs w:val="22"/>
              </w:rPr>
              <w:t>,</w:t>
            </w:r>
            <w:r w:rsidRPr="00BF7BF8">
              <w:rPr>
                <w:rFonts w:cs="Arial"/>
                <w:sz w:val="22"/>
                <w:szCs w:val="22"/>
              </w:rPr>
              <w:t xml:space="preserve"> licensing </w:t>
            </w:r>
            <w:r w:rsidR="00884204">
              <w:rPr>
                <w:rFonts w:cs="Arial"/>
                <w:sz w:val="22"/>
                <w:szCs w:val="22"/>
              </w:rPr>
              <w:t>or</w:t>
            </w:r>
            <w:r w:rsidRPr="00BF7BF8">
              <w:rPr>
                <w:rFonts w:cs="Arial"/>
                <w:sz w:val="22"/>
                <w:szCs w:val="22"/>
              </w:rPr>
              <w:t xml:space="preserve"> regulation within a statutory framework</w:t>
            </w:r>
          </w:p>
          <w:p w14:paraId="0347BA7C" w14:textId="45AD6975" w:rsidR="008B7050" w:rsidRDefault="0067716C" w:rsidP="00884204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>A sound understanding of the principles of risk management</w:t>
            </w:r>
            <w:r w:rsidR="00930B12">
              <w:rPr>
                <w:rFonts w:cs="Arial"/>
                <w:sz w:val="22"/>
                <w:szCs w:val="22"/>
              </w:rPr>
              <w:t>,</w:t>
            </w:r>
            <w:r w:rsidR="001D6047">
              <w:rPr>
                <w:rFonts w:cs="Arial"/>
                <w:sz w:val="22"/>
                <w:szCs w:val="22"/>
              </w:rPr>
              <w:t xml:space="preserve"> </w:t>
            </w:r>
            <w:r w:rsidRPr="00BF7BF8">
              <w:rPr>
                <w:rFonts w:cs="Arial"/>
                <w:sz w:val="22"/>
                <w:szCs w:val="22"/>
              </w:rPr>
              <w:t xml:space="preserve">financial and business planning </w:t>
            </w:r>
            <w:r w:rsidR="00930B12">
              <w:rPr>
                <w:rFonts w:cs="Arial"/>
                <w:sz w:val="22"/>
                <w:szCs w:val="22"/>
              </w:rPr>
              <w:t>arrang</w:t>
            </w:r>
            <w:r w:rsidR="00AF6C37">
              <w:rPr>
                <w:rFonts w:cs="Arial"/>
                <w:sz w:val="22"/>
                <w:szCs w:val="22"/>
              </w:rPr>
              <w:t>e</w:t>
            </w:r>
            <w:r w:rsidR="00930B12">
              <w:rPr>
                <w:rFonts w:cs="Arial"/>
                <w:sz w:val="22"/>
                <w:szCs w:val="22"/>
              </w:rPr>
              <w:t xml:space="preserve">ments </w:t>
            </w:r>
            <w:r w:rsidR="00AA1376">
              <w:rPr>
                <w:rFonts w:cs="Arial"/>
                <w:sz w:val="22"/>
                <w:szCs w:val="22"/>
              </w:rPr>
              <w:t xml:space="preserve">and the ability to </w:t>
            </w:r>
            <w:r w:rsidR="0082244B">
              <w:rPr>
                <w:rFonts w:cs="Arial"/>
                <w:sz w:val="22"/>
                <w:szCs w:val="22"/>
              </w:rPr>
              <w:t>apply these to complex structures</w:t>
            </w:r>
          </w:p>
          <w:p w14:paraId="7F9B9D22" w14:textId="33B03DEC" w:rsidR="00712444" w:rsidRPr="00930B12" w:rsidRDefault="008B7050">
            <w:pPr>
              <w:keepNext/>
              <w:numPr>
                <w:ilvl w:val="0"/>
                <w:numId w:val="1"/>
              </w:numPr>
              <w:spacing w:line="276" w:lineRule="auto"/>
            </w:pPr>
            <w:r>
              <w:rPr>
                <w:rFonts w:cs="Arial"/>
                <w:sz w:val="22"/>
                <w:szCs w:val="22"/>
              </w:rPr>
              <w:t>A</w:t>
            </w:r>
            <w:r w:rsidR="008F3C7C" w:rsidRPr="00BF7BF8">
              <w:rPr>
                <w:rFonts w:cs="Arial"/>
                <w:sz w:val="22"/>
                <w:szCs w:val="22"/>
              </w:rPr>
              <w:t xml:space="preserve"> good understanding of </w:t>
            </w:r>
            <w:r w:rsidR="0067716C" w:rsidRPr="00BF7BF8">
              <w:rPr>
                <w:rFonts w:cs="Arial"/>
                <w:sz w:val="22"/>
                <w:szCs w:val="22"/>
              </w:rPr>
              <w:t xml:space="preserve">the housing </w:t>
            </w:r>
            <w:r w:rsidR="00413C38">
              <w:rPr>
                <w:rFonts w:cs="Arial"/>
                <w:sz w:val="22"/>
                <w:szCs w:val="22"/>
              </w:rPr>
              <w:t>policy</w:t>
            </w:r>
            <w:r w:rsidR="00941E81">
              <w:rPr>
                <w:rFonts w:cs="Arial"/>
                <w:sz w:val="22"/>
                <w:szCs w:val="22"/>
              </w:rPr>
              <w:t xml:space="preserve">, investment strategies </w:t>
            </w:r>
            <w:r w:rsidR="0067716C" w:rsidRPr="00BF7BF8">
              <w:rPr>
                <w:rFonts w:cs="Arial"/>
                <w:sz w:val="22"/>
                <w:szCs w:val="22"/>
              </w:rPr>
              <w:t>and financial markets in which the sector operates</w:t>
            </w:r>
            <w:r w:rsidR="00C40C6C">
              <w:rPr>
                <w:rFonts w:cs="Arial"/>
                <w:sz w:val="22"/>
                <w:szCs w:val="22"/>
              </w:rPr>
              <w:t xml:space="preserve"> </w:t>
            </w:r>
          </w:p>
          <w:p w14:paraId="08D3FFEB" w14:textId="5417F40E" w:rsidR="0067716C" w:rsidRPr="00BF7BF8" w:rsidRDefault="00C40C6C" w:rsidP="00884204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Experience of managing</w:t>
            </w:r>
            <w:r w:rsidR="00136569">
              <w:rPr>
                <w:rFonts w:cs="Arial"/>
                <w:sz w:val="22"/>
                <w:szCs w:val="22"/>
              </w:rPr>
              <w:t xml:space="preserve"> </w:t>
            </w:r>
            <w:r w:rsidR="005C0BA7">
              <w:rPr>
                <w:rFonts w:cs="Arial"/>
                <w:sz w:val="22"/>
                <w:szCs w:val="22"/>
              </w:rPr>
              <w:t xml:space="preserve">and </w:t>
            </w:r>
            <w:r w:rsidR="00FB6469">
              <w:rPr>
                <w:rFonts w:cs="Arial"/>
                <w:sz w:val="22"/>
                <w:szCs w:val="22"/>
              </w:rPr>
              <w:t>motivating</w:t>
            </w:r>
            <w:r w:rsidR="0016380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staff across dispersed teams</w:t>
            </w:r>
            <w:r w:rsidR="00FB6469">
              <w:rPr>
                <w:rFonts w:cs="Arial"/>
                <w:sz w:val="22"/>
                <w:szCs w:val="22"/>
              </w:rPr>
              <w:t xml:space="preserve">, </w:t>
            </w:r>
            <w:r w:rsidR="009122D5">
              <w:rPr>
                <w:rFonts w:cs="Arial"/>
                <w:sz w:val="22"/>
                <w:szCs w:val="22"/>
              </w:rPr>
              <w:t>providing leadershi</w:t>
            </w:r>
            <w:r w:rsidR="0044694D">
              <w:rPr>
                <w:rFonts w:cs="Arial"/>
                <w:sz w:val="22"/>
                <w:szCs w:val="22"/>
              </w:rPr>
              <w:t>p and</w:t>
            </w:r>
            <w:r w:rsidR="0067716C" w:rsidRPr="00BF7BF8">
              <w:rPr>
                <w:rFonts w:cs="Arial"/>
                <w:sz w:val="22"/>
                <w:szCs w:val="22"/>
              </w:rPr>
              <w:t xml:space="preserve"> delivering outcomes through people </w:t>
            </w:r>
            <w:r w:rsidR="00A43922" w:rsidRPr="00BF7BF8">
              <w:rPr>
                <w:rFonts w:cs="Arial"/>
                <w:sz w:val="22"/>
                <w:szCs w:val="22"/>
              </w:rPr>
              <w:t xml:space="preserve">including those </w:t>
            </w:r>
            <w:r w:rsidR="0067716C" w:rsidRPr="00BF7BF8">
              <w:rPr>
                <w:rFonts w:cs="Arial"/>
                <w:sz w:val="22"/>
                <w:szCs w:val="22"/>
              </w:rPr>
              <w:t>for whom the SRA</w:t>
            </w:r>
            <w:r w:rsidR="00A43922" w:rsidRPr="00BF7BF8">
              <w:rPr>
                <w:rFonts w:cs="Arial"/>
                <w:sz w:val="22"/>
                <w:szCs w:val="22"/>
              </w:rPr>
              <w:t xml:space="preserve"> </w:t>
            </w:r>
            <w:r w:rsidR="0067716C" w:rsidRPr="00BF7BF8">
              <w:rPr>
                <w:rFonts w:cs="Arial"/>
                <w:sz w:val="22"/>
                <w:szCs w:val="22"/>
              </w:rPr>
              <w:t xml:space="preserve">has no direct management responsibility </w:t>
            </w:r>
          </w:p>
          <w:p w14:paraId="1BB35E0E" w14:textId="4488FF6C" w:rsidR="004C352A" w:rsidRDefault="004C352A" w:rsidP="00884204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 xml:space="preserve">Ability to work across team boundaries in </w:t>
            </w:r>
            <w:r w:rsidRPr="009E64A4">
              <w:rPr>
                <w:rFonts w:cs="Arial"/>
                <w:sz w:val="22"/>
                <w:szCs w:val="22"/>
              </w:rPr>
              <w:t xml:space="preserve">a collaborative and </w:t>
            </w:r>
            <w:r w:rsidR="0064606E">
              <w:rPr>
                <w:rFonts w:cs="Arial"/>
                <w:sz w:val="22"/>
                <w:szCs w:val="22"/>
              </w:rPr>
              <w:t>joined up</w:t>
            </w:r>
            <w:r w:rsidRPr="009E64A4">
              <w:rPr>
                <w:rFonts w:cs="Arial"/>
                <w:sz w:val="22"/>
                <w:szCs w:val="22"/>
              </w:rPr>
              <w:t xml:space="preserve"> way</w:t>
            </w:r>
          </w:p>
          <w:p w14:paraId="480D921E" w14:textId="40833C64" w:rsidR="0067716C" w:rsidRPr="00BF7BF8" w:rsidRDefault="0067716C" w:rsidP="00884204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>Ex</w:t>
            </w:r>
            <w:r w:rsidR="008557F3">
              <w:rPr>
                <w:rFonts w:cs="Arial"/>
                <w:sz w:val="22"/>
                <w:szCs w:val="22"/>
              </w:rPr>
              <w:t xml:space="preserve">perience of </w:t>
            </w:r>
            <w:r w:rsidR="00DB6150">
              <w:rPr>
                <w:rFonts w:cs="Arial"/>
                <w:sz w:val="22"/>
                <w:szCs w:val="22"/>
              </w:rPr>
              <w:t xml:space="preserve">developing and </w:t>
            </w:r>
            <w:r w:rsidR="008557F3">
              <w:rPr>
                <w:rFonts w:cs="Arial"/>
                <w:sz w:val="22"/>
                <w:szCs w:val="22"/>
              </w:rPr>
              <w:t xml:space="preserve">managing </w:t>
            </w:r>
            <w:r w:rsidRPr="00BF7BF8">
              <w:rPr>
                <w:rFonts w:cs="Arial"/>
                <w:sz w:val="22"/>
                <w:szCs w:val="22"/>
              </w:rPr>
              <w:t>relationship</w:t>
            </w:r>
            <w:r w:rsidR="005B02EA">
              <w:rPr>
                <w:rFonts w:cs="Arial"/>
                <w:sz w:val="22"/>
                <w:szCs w:val="22"/>
              </w:rPr>
              <w:t>s</w:t>
            </w:r>
            <w:r w:rsidR="000E2F8C">
              <w:rPr>
                <w:rFonts w:cs="Arial"/>
                <w:sz w:val="22"/>
                <w:szCs w:val="22"/>
              </w:rPr>
              <w:t xml:space="preserve"> </w:t>
            </w:r>
            <w:r w:rsidR="00FE21E6">
              <w:rPr>
                <w:rFonts w:cs="Arial"/>
                <w:sz w:val="22"/>
                <w:szCs w:val="22"/>
              </w:rPr>
              <w:t xml:space="preserve">with </w:t>
            </w:r>
            <w:r w:rsidR="00FE21E6" w:rsidRPr="00BF7BF8">
              <w:rPr>
                <w:rFonts w:cs="Arial"/>
                <w:sz w:val="22"/>
                <w:szCs w:val="22"/>
              </w:rPr>
              <w:t>key stakeholders</w:t>
            </w:r>
            <w:r w:rsidR="0001213B">
              <w:rPr>
                <w:rFonts w:cs="Arial"/>
                <w:sz w:val="22"/>
                <w:szCs w:val="22"/>
              </w:rPr>
              <w:t>,</w:t>
            </w:r>
            <w:r w:rsidR="00ED1ECA">
              <w:rPr>
                <w:rFonts w:cs="Arial"/>
                <w:sz w:val="22"/>
                <w:szCs w:val="22"/>
              </w:rPr>
              <w:t xml:space="preserve"> </w:t>
            </w:r>
            <w:r w:rsidR="00ED1ECA" w:rsidRPr="00ED1ECA">
              <w:rPr>
                <w:rFonts w:cs="Arial"/>
                <w:sz w:val="22"/>
                <w:szCs w:val="22"/>
              </w:rPr>
              <w:t xml:space="preserve">including </w:t>
            </w:r>
            <w:r w:rsidR="002B1E6E">
              <w:rPr>
                <w:rFonts w:cs="Arial"/>
                <w:sz w:val="22"/>
                <w:szCs w:val="22"/>
              </w:rPr>
              <w:t xml:space="preserve">executive officers, </w:t>
            </w:r>
            <w:r w:rsidR="00ED1ECA" w:rsidRPr="00ED1ECA">
              <w:rPr>
                <w:rFonts w:cs="Arial"/>
                <w:sz w:val="22"/>
                <w:szCs w:val="22"/>
              </w:rPr>
              <w:t>external consultants and advisors</w:t>
            </w:r>
            <w:r w:rsidRPr="00BF7BF8">
              <w:rPr>
                <w:rFonts w:cs="Arial"/>
                <w:sz w:val="22"/>
                <w:szCs w:val="22"/>
              </w:rPr>
              <w:t xml:space="preserve">, </w:t>
            </w:r>
            <w:r w:rsidR="00E00B56">
              <w:rPr>
                <w:rFonts w:cs="Arial"/>
                <w:sz w:val="22"/>
                <w:szCs w:val="22"/>
              </w:rPr>
              <w:t xml:space="preserve">demonstrating the ability to </w:t>
            </w:r>
            <w:r w:rsidR="00E00B56" w:rsidRPr="00BF7BF8">
              <w:rPr>
                <w:rFonts w:cs="Arial"/>
                <w:sz w:val="22"/>
                <w:szCs w:val="22"/>
              </w:rPr>
              <w:t>negotiat</w:t>
            </w:r>
            <w:r w:rsidR="00722C52">
              <w:rPr>
                <w:rFonts w:cs="Arial"/>
                <w:sz w:val="22"/>
                <w:szCs w:val="22"/>
              </w:rPr>
              <w:t>e</w:t>
            </w:r>
            <w:r w:rsidR="00E00B56" w:rsidRPr="00BF7BF8">
              <w:rPr>
                <w:rFonts w:cs="Arial"/>
                <w:sz w:val="22"/>
                <w:szCs w:val="22"/>
              </w:rPr>
              <w:t xml:space="preserve"> </w:t>
            </w:r>
            <w:r w:rsidR="00E00B56">
              <w:rPr>
                <w:rFonts w:cs="Arial"/>
                <w:sz w:val="22"/>
                <w:szCs w:val="22"/>
              </w:rPr>
              <w:t xml:space="preserve">and </w:t>
            </w:r>
            <w:r w:rsidRPr="00BF7BF8">
              <w:rPr>
                <w:rFonts w:cs="Arial"/>
                <w:sz w:val="22"/>
                <w:szCs w:val="22"/>
              </w:rPr>
              <w:t>influenc</w:t>
            </w:r>
            <w:r w:rsidR="00E00B56">
              <w:rPr>
                <w:rFonts w:cs="Arial"/>
                <w:sz w:val="22"/>
                <w:szCs w:val="22"/>
              </w:rPr>
              <w:t xml:space="preserve">e </w:t>
            </w:r>
            <w:r w:rsidR="005207B6">
              <w:rPr>
                <w:rFonts w:cs="Arial"/>
                <w:sz w:val="22"/>
                <w:szCs w:val="22"/>
              </w:rPr>
              <w:t xml:space="preserve">outcomes. </w:t>
            </w:r>
          </w:p>
          <w:p w14:paraId="09C6B506" w14:textId="314CE2CF" w:rsidR="00AF3D0C" w:rsidRPr="0058719F" w:rsidRDefault="0067716C" w:rsidP="00884204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58719F">
              <w:rPr>
                <w:rFonts w:cs="Arial"/>
                <w:sz w:val="22"/>
                <w:szCs w:val="22"/>
              </w:rPr>
              <w:t xml:space="preserve">A good understanding of current regulatory approaches </w:t>
            </w:r>
            <w:r w:rsidR="000E36BA">
              <w:rPr>
                <w:rFonts w:cs="Arial"/>
                <w:sz w:val="22"/>
                <w:szCs w:val="22"/>
              </w:rPr>
              <w:t>including t</w:t>
            </w:r>
            <w:r w:rsidR="0058719F" w:rsidRPr="0058719F">
              <w:rPr>
                <w:rFonts w:cs="Arial"/>
                <w:sz w:val="22"/>
                <w:szCs w:val="22"/>
              </w:rPr>
              <w:t>he principles of modern regulation as represented</w:t>
            </w:r>
            <w:r w:rsidR="0058719F">
              <w:rPr>
                <w:rFonts w:cs="Arial"/>
                <w:sz w:val="22"/>
                <w:szCs w:val="22"/>
              </w:rPr>
              <w:t xml:space="preserve"> </w:t>
            </w:r>
            <w:r w:rsidR="0058719F" w:rsidRPr="0058719F">
              <w:rPr>
                <w:rFonts w:cs="Arial"/>
                <w:sz w:val="22"/>
                <w:szCs w:val="22"/>
              </w:rPr>
              <w:t>by the co-regulatory approach.</w:t>
            </w:r>
          </w:p>
          <w:p w14:paraId="55D047D3" w14:textId="66DA5FC3" w:rsidR="0067716C" w:rsidRPr="000F2906" w:rsidRDefault="00930B12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362676" w:rsidRPr="00BF7BF8">
              <w:rPr>
                <w:rFonts w:cs="Arial"/>
                <w:sz w:val="22"/>
                <w:szCs w:val="22"/>
              </w:rPr>
              <w:t xml:space="preserve">ighly developed critical and analytical evaluation skills with </w:t>
            </w:r>
            <w:r w:rsidR="009D73B6">
              <w:rPr>
                <w:rFonts w:cs="Arial"/>
                <w:sz w:val="22"/>
                <w:szCs w:val="22"/>
              </w:rPr>
              <w:t xml:space="preserve">the </w:t>
            </w:r>
            <w:r w:rsidR="00362676" w:rsidRPr="00BF7BF8">
              <w:rPr>
                <w:rFonts w:cs="Arial"/>
                <w:sz w:val="22"/>
                <w:szCs w:val="22"/>
              </w:rPr>
              <w:t xml:space="preserve">ability to analyse </w:t>
            </w:r>
            <w:r w:rsidR="000F2906">
              <w:rPr>
                <w:rFonts w:cs="Arial"/>
                <w:sz w:val="22"/>
                <w:szCs w:val="22"/>
              </w:rPr>
              <w:t xml:space="preserve">complex </w:t>
            </w:r>
            <w:r w:rsidR="00362676" w:rsidRPr="00BF7BF8">
              <w:rPr>
                <w:rFonts w:cs="Arial"/>
                <w:sz w:val="22"/>
                <w:szCs w:val="22"/>
              </w:rPr>
              <w:t xml:space="preserve">data, draw conclusions and exercise a sound professional judgement from a range of material </w:t>
            </w:r>
          </w:p>
          <w:p w14:paraId="7D87B1E7" w14:textId="7BD69E1A" w:rsidR="009F4D3B" w:rsidRDefault="00CD0AF1" w:rsidP="002D050F">
            <w:pPr>
              <w:numPr>
                <w:ilvl w:val="0"/>
                <w:numId w:val="1"/>
              </w:numPr>
              <w:spacing w:before="4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Exem</w:t>
            </w:r>
            <w:r w:rsidR="005C5659">
              <w:rPr>
                <w:rFonts w:cs="Arial"/>
                <w:sz w:val="22"/>
                <w:szCs w:val="22"/>
              </w:rPr>
              <w:t>plary communication skills</w:t>
            </w:r>
            <w:r w:rsidR="00077301" w:rsidRPr="00077301">
              <w:rPr>
                <w:rFonts w:cs="Arial"/>
                <w:sz w:val="22"/>
                <w:szCs w:val="22"/>
              </w:rPr>
              <w:t xml:space="preserve"> effective for </w:t>
            </w:r>
            <w:r w:rsidR="00C12C87">
              <w:rPr>
                <w:rFonts w:cs="Arial"/>
                <w:sz w:val="22"/>
                <w:szCs w:val="22"/>
              </w:rPr>
              <w:t xml:space="preserve">delivery to </w:t>
            </w:r>
            <w:r w:rsidR="00077301" w:rsidRPr="00077301">
              <w:rPr>
                <w:rFonts w:cs="Arial"/>
                <w:sz w:val="22"/>
                <w:szCs w:val="22"/>
              </w:rPr>
              <w:t>a wide range of audiences</w:t>
            </w:r>
            <w:r w:rsidR="005C5659">
              <w:rPr>
                <w:rFonts w:cs="Arial"/>
                <w:sz w:val="22"/>
                <w:szCs w:val="22"/>
              </w:rPr>
              <w:t xml:space="preserve">, including the ability to constructively challenge and </w:t>
            </w:r>
            <w:r w:rsidR="00205395">
              <w:rPr>
                <w:rFonts w:cs="Arial"/>
                <w:sz w:val="22"/>
                <w:szCs w:val="22"/>
              </w:rPr>
              <w:t xml:space="preserve">to communicate difficult messages with professionalism </w:t>
            </w:r>
            <w:r w:rsidR="000F2906">
              <w:rPr>
                <w:rFonts w:cs="Arial"/>
                <w:sz w:val="22"/>
                <w:szCs w:val="22"/>
              </w:rPr>
              <w:t xml:space="preserve">. </w:t>
            </w:r>
          </w:p>
          <w:p w14:paraId="129AA07D" w14:textId="0FF9CF05" w:rsidR="005E26F4" w:rsidRDefault="00884204" w:rsidP="002D050F">
            <w:pPr>
              <w:numPr>
                <w:ilvl w:val="0"/>
                <w:numId w:val="1"/>
              </w:numPr>
              <w:spacing w:before="40" w:line="276" w:lineRule="auto"/>
              <w:rPr>
                <w:rFonts w:cs="Arial"/>
                <w:sz w:val="22"/>
                <w:szCs w:val="22"/>
              </w:rPr>
            </w:pPr>
            <w:r w:rsidRPr="002D050F">
              <w:rPr>
                <w:rFonts w:cs="Arial"/>
                <w:sz w:val="22"/>
                <w:szCs w:val="22"/>
              </w:rPr>
              <w:t xml:space="preserve">The ability to effectively manage conflicting priorities to enable delivery of work in an efficient and </w:t>
            </w:r>
            <w:r w:rsidR="000F2906" w:rsidRPr="002D050F">
              <w:rPr>
                <w:rFonts w:cs="Arial"/>
                <w:sz w:val="22"/>
                <w:szCs w:val="22"/>
              </w:rPr>
              <w:t xml:space="preserve">effective </w:t>
            </w:r>
            <w:r w:rsidRPr="002D050F">
              <w:rPr>
                <w:rFonts w:cs="Arial"/>
                <w:sz w:val="22"/>
                <w:szCs w:val="22"/>
              </w:rPr>
              <w:t>manner</w:t>
            </w:r>
            <w:r w:rsidR="00773414">
              <w:rPr>
                <w:rFonts w:cs="Arial"/>
                <w:sz w:val="22"/>
                <w:szCs w:val="22"/>
              </w:rPr>
              <w:t>.</w:t>
            </w:r>
          </w:p>
          <w:p w14:paraId="3C56357D" w14:textId="1F43F68A" w:rsidR="00007FCB" w:rsidRPr="00BD7BE3" w:rsidRDefault="00F650C0" w:rsidP="00007FCB">
            <w:pPr>
              <w:numPr>
                <w:ilvl w:val="0"/>
                <w:numId w:val="1"/>
              </w:numPr>
              <w:spacing w:before="4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adapt to changing circumstances and work flexibly.</w:t>
            </w:r>
          </w:p>
          <w:p w14:paraId="0FE59727" w14:textId="372C5F71" w:rsidR="00007FCB" w:rsidRPr="00BF7BF8" w:rsidRDefault="00007FCB" w:rsidP="00007FCB">
            <w:pPr>
              <w:spacing w:before="4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56B0350" w14:textId="77777777" w:rsidR="002C40AC" w:rsidRPr="00BF7BF8" w:rsidRDefault="002C40AC" w:rsidP="000632EE">
      <w:pPr>
        <w:keepNext/>
        <w:spacing w:line="276" w:lineRule="auto"/>
        <w:rPr>
          <w:rFonts w:cs="Arial"/>
          <w:sz w:val="22"/>
          <w:szCs w:val="22"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F7BF8" w:rsidRPr="00BF7BF8" w14:paraId="615FCF9E" w14:textId="77777777" w:rsidTr="00ED4134">
        <w:tc>
          <w:tcPr>
            <w:tcW w:w="10065" w:type="dxa"/>
            <w:shd w:val="pct20" w:color="auto" w:fill="auto"/>
          </w:tcPr>
          <w:p w14:paraId="056AEFB4" w14:textId="77777777" w:rsidR="00BF7BF8" w:rsidRPr="00BF7BF8" w:rsidRDefault="00BF7BF8" w:rsidP="005A6DAB">
            <w:pPr>
              <w:numPr>
                <w:ilvl w:val="12"/>
                <w:numId w:val="0"/>
              </w:numPr>
              <w:spacing w:before="40"/>
              <w:rPr>
                <w:rFonts w:cs="Arial"/>
                <w:b/>
                <w:sz w:val="22"/>
                <w:szCs w:val="22"/>
              </w:rPr>
            </w:pPr>
            <w:r w:rsidRPr="00BF7BF8">
              <w:rPr>
                <w:rFonts w:cs="Arial"/>
                <w:b/>
                <w:sz w:val="22"/>
                <w:szCs w:val="22"/>
              </w:rPr>
              <w:t>General Responsibilities</w:t>
            </w:r>
          </w:p>
          <w:p w14:paraId="727A857C" w14:textId="59275086" w:rsidR="00BF7BF8" w:rsidRPr="00BF7BF8" w:rsidRDefault="00BF7BF8" w:rsidP="005A6DAB">
            <w:pPr>
              <w:numPr>
                <w:ilvl w:val="12"/>
                <w:numId w:val="0"/>
              </w:numPr>
              <w:spacing w:after="40"/>
              <w:rPr>
                <w:rFonts w:cs="Arial"/>
                <w:i/>
                <w:sz w:val="22"/>
                <w:szCs w:val="22"/>
              </w:rPr>
            </w:pPr>
          </w:p>
        </w:tc>
      </w:tr>
      <w:tr w:rsidR="00BF7BF8" w:rsidRPr="00BF7BF8" w14:paraId="4E75D87F" w14:textId="77777777" w:rsidTr="00ED4134">
        <w:trPr>
          <w:trHeight w:val="2190"/>
        </w:trPr>
        <w:tc>
          <w:tcPr>
            <w:tcW w:w="10065" w:type="dxa"/>
          </w:tcPr>
          <w:p w14:paraId="33ACDE0E" w14:textId="4C8B879F" w:rsidR="00BF7BF8" w:rsidRPr="00BF7BF8" w:rsidRDefault="00BF7BF8" w:rsidP="00C1357E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 xml:space="preserve">To adhere to the </w:t>
            </w:r>
            <w:r w:rsidR="000F2906">
              <w:rPr>
                <w:rFonts w:cs="Arial"/>
                <w:sz w:val="22"/>
                <w:szCs w:val="22"/>
              </w:rPr>
              <w:t>RSH</w:t>
            </w:r>
            <w:r w:rsidR="000F2906" w:rsidRPr="00BF7BF8">
              <w:rPr>
                <w:rFonts w:cs="Arial"/>
                <w:sz w:val="22"/>
                <w:szCs w:val="22"/>
              </w:rPr>
              <w:t xml:space="preserve">’s </w:t>
            </w:r>
            <w:r w:rsidRPr="00BF7BF8">
              <w:rPr>
                <w:rFonts w:cs="Arial"/>
                <w:sz w:val="22"/>
                <w:szCs w:val="22"/>
              </w:rPr>
              <w:t>Equality and Diversity and Equal opportunities policies in all activities and to actively promote equality of opportunity.</w:t>
            </w:r>
          </w:p>
          <w:p w14:paraId="09CF8A05" w14:textId="1FDEB070" w:rsidR="00BF7BF8" w:rsidRPr="00BF7BF8" w:rsidRDefault="00BF7BF8" w:rsidP="00C1357E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 xml:space="preserve">To be responsible for your own health and safety and that of your colleagues and all others in the workplace, in accordance with </w:t>
            </w:r>
            <w:r w:rsidR="000F2906">
              <w:rPr>
                <w:rFonts w:cs="Arial"/>
                <w:sz w:val="22"/>
                <w:szCs w:val="22"/>
              </w:rPr>
              <w:t>RSH</w:t>
            </w:r>
            <w:r w:rsidR="000F2906" w:rsidRPr="00BF7BF8">
              <w:rPr>
                <w:rFonts w:cs="Arial"/>
                <w:sz w:val="22"/>
                <w:szCs w:val="22"/>
              </w:rPr>
              <w:t xml:space="preserve"> </w:t>
            </w:r>
            <w:r w:rsidRPr="00BF7BF8">
              <w:rPr>
                <w:rFonts w:cs="Arial"/>
                <w:sz w:val="22"/>
                <w:szCs w:val="22"/>
              </w:rPr>
              <w:t>Health and Safety policies.</w:t>
            </w:r>
          </w:p>
          <w:p w14:paraId="79EE8781" w14:textId="3D236BB7" w:rsidR="00BF7BF8" w:rsidRPr="00BF7BF8" w:rsidRDefault="00BF7BF8" w:rsidP="00C1357E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 xml:space="preserve">To demonstrate </w:t>
            </w:r>
            <w:r w:rsidR="000F2906">
              <w:rPr>
                <w:rFonts w:cs="Arial"/>
                <w:sz w:val="22"/>
                <w:szCs w:val="22"/>
              </w:rPr>
              <w:t>RSH</w:t>
            </w:r>
            <w:r w:rsidR="000F2906" w:rsidRPr="00BF7BF8">
              <w:rPr>
                <w:rFonts w:cs="Arial"/>
                <w:sz w:val="22"/>
                <w:szCs w:val="22"/>
              </w:rPr>
              <w:t xml:space="preserve"> </w:t>
            </w:r>
            <w:r w:rsidRPr="00BF7BF8">
              <w:rPr>
                <w:rFonts w:cs="Arial"/>
                <w:sz w:val="22"/>
                <w:szCs w:val="22"/>
              </w:rPr>
              <w:t>core values in all working relationships within the workplace</w:t>
            </w:r>
          </w:p>
          <w:p w14:paraId="4ED147B7" w14:textId="2644993D" w:rsidR="00BF7BF8" w:rsidRPr="00BF7BF8" w:rsidRDefault="00BF7BF8" w:rsidP="00C1357E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 xml:space="preserve">To work in accordance with the </w:t>
            </w:r>
            <w:r w:rsidR="000F2906">
              <w:rPr>
                <w:rFonts w:cs="Arial"/>
                <w:sz w:val="22"/>
                <w:szCs w:val="22"/>
              </w:rPr>
              <w:t>RSH</w:t>
            </w:r>
            <w:r w:rsidR="000F2906" w:rsidRPr="00BF7BF8">
              <w:rPr>
                <w:rFonts w:cs="Arial"/>
                <w:sz w:val="22"/>
                <w:szCs w:val="22"/>
              </w:rPr>
              <w:t xml:space="preserve"> </w:t>
            </w:r>
            <w:r w:rsidRPr="00BF7BF8">
              <w:rPr>
                <w:rFonts w:cs="Arial"/>
                <w:sz w:val="22"/>
                <w:szCs w:val="22"/>
              </w:rPr>
              <w:t>Data Protection Polic</w:t>
            </w:r>
            <w:r w:rsidR="005B6965">
              <w:rPr>
                <w:rFonts w:cs="Arial"/>
                <w:sz w:val="22"/>
                <w:szCs w:val="22"/>
              </w:rPr>
              <w:t>i</w:t>
            </w:r>
            <w:r w:rsidRPr="00BF7BF8">
              <w:rPr>
                <w:rFonts w:cs="Arial"/>
                <w:sz w:val="22"/>
                <w:szCs w:val="22"/>
              </w:rPr>
              <w:t xml:space="preserve">es and adhere to the </w:t>
            </w:r>
            <w:r w:rsidR="000F2906">
              <w:rPr>
                <w:rFonts w:cs="Arial"/>
                <w:sz w:val="22"/>
                <w:szCs w:val="22"/>
              </w:rPr>
              <w:t>RSH</w:t>
            </w:r>
            <w:r w:rsidR="000F2906" w:rsidRPr="00BF7BF8">
              <w:rPr>
                <w:rFonts w:cs="Arial"/>
                <w:sz w:val="22"/>
                <w:szCs w:val="22"/>
              </w:rPr>
              <w:t xml:space="preserve"> </w:t>
            </w:r>
            <w:r w:rsidRPr="00BF7BF8">
              <w:rPr>
                <w:rFonts w:cs="Arial"/>
                <w:sz w:val="22"/>
                <w:szCs w:val="22"/>
              </w:rPr>
              <w:t>Freedom of Information policies where appropriate.</w:t>
            </w:r>
          </w:p>
          <w:p w14:paraId="4DB90807" w14:textId="77777777" w:rsidR="00BF7BF8" w:rsidRPr="00BF7BF8" w:rsidRDefault="00BF7BF8" w:rsidP="00C1357E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BF7BF8">
              <w:rPr>
                <w:rFonts w:cs="Arial"/>
                <w:sz w:val="22"/>
                <w:szCs w:val="22"/>
              </w:rPr>
              <w:t>To undertake such other duties as may be reasonably expected.</w:t>
            </w:r>
          </w:p>
        </w:tc>
      </w:tr>
    </w:tbl>
    <w:p w14:paraId="19FF65D1" w14:textId="77777777" w:rsidR="00E0688D" w:rsidRPr="00BF7BF8" w:rsidRDefault="00E0688D" w:rsidP="009977DB">
      <w:pPr>
        <w:keepNext/>
        <w:spacing w:line="276" w:lineRule="auto"/>
        <w:rPr>
          <w:rFonts w:cs="Arial"/>
          <w:sz w:val="22"/>
          <w:szCs w:val="22"/>
        </w:rPr>
      </w:pPr>
    </w:p>
    <w:sectPr w:rsidR="00E0688D" w:rsidRPr="00BF7BF8" w:rsidSect="009977DB">
      <w:footerReference w:type="even" r:id="rId11"/>
      <w:footerReference w:type="default" r:id="rId12"/>
      <w:footerReference w:type="first" r:id="rId13"/>
      <w:pgSz w:w="11906" w:h="16838"/>
      <w:pgMar w:top="1134" w:right="1134" w:bottom="1134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F11D8" w14:textId="77777777" w:rsidR="00BB383C" w:rsidRDefault="00BB383C">
      <w:r>
        <w:separator/>
      </w:r>
    </w:p>
  </w:endnote>
  <w:endnote w:type="continuationSeparator" w:id="0">
    <w:p w14:paraId="684182EC" w14:textId="77777777" w:rsidR="00BB383C" w:rsidRDefault="00BB383C">
      <w:r>
        <w:continuationSeparator/>
      </w:r>
    </w:p>
  </w:endnote>
  <w:endnote w:type="continuationNotice" w:id="1">
    <w:p w14:paraId="5EA0B360" w14:textId="77777777" w:rsidR="00BB383C" w:rsidRDefault="00BB3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B0C2" w14:textId="77777777" w:rsidR="00263517" w:rsidRDefault="00263517" w:rsidP="00B2110F">
    <w:pPr>
      <w:pStyle w:val="Footer"/>
      <w:jc w:val="center"/>
      <w:rPr>
        <w:rFonts w:cs="Arial"/>
        <w:b/>
        <w:color w:val="FF0000"/>
        <w:sz w:val="20"/>
      </w:rPr>
    </w:pPr>
    <w:bookmarkStart w:id="1" w:name="aliashAdvancedFooterprot1FooterEvenPages"/>
  </w:p>
  <w:bookmarkEnd w:id="1"/>
  <w:p w14:paraId="1464DEF1" w14:textId="77777777" w:rsidR="00263517" w:rsidRDefault="00263517" w:rsidP="00BE245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aliashAdvancedFooterprotec1FooterPrimary"/>
  <w:p w14:paraId="58BCCFA5" w14:textId="77777777" w:rsidR="00263517" w:rsidRDefault="00511005" w:rsidP="00B2110F">
    <w:pPr>
      <w:pStyle w:val="Footer"/>
      <w:framePr w:wrap="around" w:vAnchor="text" w:hAnchor="margin" w:xAlign="center" w:y="1"/>
      <w:jc w:val="center"/>
      <w:rPr>
        <w:rStyle w:val="PageNumber"/>
        <w:rFonts w:cs="Arial"/>
        <w:b/>
        <w:color w:val="FF0000"/>
        <w:sz w:val="20"/>
      </w:rPr>
    </w:pPr>
    <w:r>
      <w:rPr>
        <w:rFonts w:cs="Arial"/>
        <w:b/>
        <w:noProof/>
        <w:color w:val="FF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88F535" wp14:editId="3133E1E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a49405b9dbf81182195b2b9" descr="{&quot;HashCode&quot;:-166337246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E00C2" w14:textId="77777777" w:rsidR="00511005" w:rsidRPr="00511005" w:rsidRDefault="00511005" w:rsidP="00511005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511005"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8F535" id="_x0000_t202" coordsize="21600,21600" o:spt="202" path="m,l,21600r21600,l21600,xe">
              <v:stroke joinstyle="miter"/>
              <v:path gradientshapeok="t" o:connecttype="rect"/>
            </v:shapetype>
            <v:shape id="MSIPCMca49405b9dbf81182195b2b9" o:spid="_x0000_s1026" type="#_x0000_t202" alt="{&quot;HashCode&quot;:-1663372469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2E6E00C2" w14:textId="77777777" w:rsidR="00511005" w:rsidRPr="00511005" w:rsidRDefault="00511005" w:rsidP="00511005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511005"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2"/>
  <w:p w14:paraId="5E76C847" w14:textId="77777777" w:rsidR="00263517" w:rsidRDefault="00263517" w:rsidP="00BE245F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D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EE35BF" w14:textId="612333DE" w:rsidR="00263517" w:rsidRDefault="00263517">
    <w:pPr>
      <w:pStyle w:val="Footer"/>
    </w:pPr>
    <w:r>
      <w:t xml:space="preserve">Version 1 – </w:t>
    </w:r>
    <w:r>
      <w:fldChar w:fldCharType="begin"/>
    </w:r>
    <w:r>
      <w:instrText xml:space="preserve"> DATE \@ "dd/MM/yyyy" </w:instrText>
    </w:r>
    <w:r>
      <w:fldChar w:fldCharType="separate"/>
    </w:r>
    <w:r w:rsidR="001F4853">
      <w:rPr>
        <w:noProof/>
      </w:rPr>
      <w:t>03/12/2024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165E" w14:textId="77777777" w:rsidR="00263517" w:rsidRDefault="00263517" w:rsidP="00B35B6E">
    <w:pPr>
      <w:pStyle w:val="Footer"/>
      <w:jc w:val="center"/>
      <w:rPr>
        <w:rFonts w:cs="Arial"/>
        <w:b/>
        <w:color w:val="FF0000"/>
        <w:sz w:val="20"/>
      </w:rPr>
    </w:pPr>
    <w:bookmarkStart w:id="3" w:name="aliashAdvancedFooterprot1FooterFirstPage"/>
  </w:p>
  <w:bookmarkEnd w:id="3"/>
  <w:p w14:paraId="2A78D4BD" w14:textId="77777777" w:rsidR="00263517" w:rsidRDefault="00263517" w:rsidP="00BE24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9862" w14:textId="77777777" w:rsidR="00BB383C" w:rsidRDefault="00BB383C">
      <w:r>
        <w:separator/>
      </w:r>
    </w:p>
  </w:footnote>
  <w:footnote w:type="continuationSeparator" w:id="0">
    <w:p w14:paraId="72C60B3E" w14:textId="77777777" w:rsidR="00BB383C" w:rsidRDefault="00BB383C">
      <w:r>
        <w:continuationSeparator/>
      </w:r>
    </w:p>
  </w:footnote>
  <w:footnote w:type="continuationNotice" w:id="1">
    <w:p w14:paraId="48BBC340" w14:textId="77777777" w:rsidR="00BB383C" w:rsidRDefault="00BB3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B14"/>
    <w:multiLevelType w:val="hybridMultilevel"/>
    <w:tmpl w:val="3FE0F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4284D"/>
    <w:multiLevelType w:val="hybridMultilevel"/>
    <w:tmpl w:val="9FD8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661"/>
    <w:multiLevelType w:val="hybridMultilevel"/>
    <w:tmpl w:val="253007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704B3"/>
    <w:multiLevelType w:val="hybridMultilevel"/>
    <w:tmpl w:val="D41CB24C"/>
    <w:lvl w:ilvl="0" w:tplc="7FCE8092">
      <w:start w:val="7"/>
      <w:numFmt w:val="bullet"/>
      <w:lvlText w:val="•"/>
      <w:lvlJc w:val="left"/>
      <w:pPr>
        <w:ind w:left="927" w:hanging="360"/>
      </w:pPr>
      <w:rPr>
        <w:rFonts w:ascii="Calibri" w:eastAsiaTheme="minorHAnsi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40611A"/>
    <w:multiLevelType w:val="hybridMultilevel"/>
    <w:tmpl w:val="A8A43D5A"/>
    <w:lvl w:ilvl="0" w:tplc="89F86DF4">
      <w:start w:val="8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C5CA8"/>
    <w:multiLevelType w:val="hybridMultilevel"/>
    <w:tmpl w:val="BF7EF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2B2289"/>
    <w:multiLevelType w:val="hybridMultilevel"/>
    <w:tmpl w:val="4CC0F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9136E"/>
    <w:multiLevelType w:val="hybridMultilevel"/>
    <w:tmpl w:val="354E4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210D0"/>
    <w:multiLevelType w:val="hybridMultilevel"/>
    <w:tmpl w:val="555AAFF4"/>
    <w:lvl w:ilvl="0" w:tplc="3DC0485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473C"/>
    <w:multiLevelType w:val="hybridMultilevel"/>
    <w:tmpl w:val="00A88A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67918"/>
    <w:multiLevelType w:val="hybridMultilevel"/>
    <w:tmpl w:val="BDCA81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82484"/>
    <w:multiLevelType w:val="hybridMultilevel"/>
    <w:tmpl w:val="2620FB08"/>
    <w:lvl w:ilvl="0" w:tplc="3DC0485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C2A8E"/>
    <w:multiLevelType w:val="hybridMultilevel"/>
    <w:tmpl w:val="51385470"/>
    <w:lvl w:ilvl="0" w:tplc="3DC0485A">
      <w:start w:val="1"/>
      <w:numFmt w:val="bullet"/>
      <w:lvlText w:val=""/>
      <w:lvlJc w:val="left"/>
      <w:pPr>
        <w:tabs>
          <w:tab w:val="num" w:pos="-834"/>
        </w:tabs>
        <w:ind w:left="-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"/>
        </w:tabs>
        <w:ind w:left="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94"/>
        </w:tabs>
        <w:ind w:left="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14"/>
        </w:tabs>
        <w:ind w:left="1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</w:abstractNum>
  <w:abstractNum w:abstractNumId="13" w15:restartNumberingAfterBreak="0">
    <w:nsid w:val="682C2419"/>
    <w:multiLevelType w:val="hybridMultilevel"/>
    <w:tmpl w:val="F08604FA"/>
    <w:lvl w:ilvl="0" w:tplc="FD6267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C5257"/>
    <w:multiLevelType w:val="hybridMultilevel"/>
    <w:tmpl w:val="48960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A953E3"/>
    <w:multiLevelType w:val="hybridMultilevel"/>
    <w:tmpl w:val="F4AAD57E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73263BE1"/>
    <w:multiLevelType w:val="hybridMultilevel"/>
    <w:tmpl w:val="D77E8F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8A1F21"/>
    <w:multiLevelType w:val="hybridMultilevel"/>
    <w:tmpl w:val="B9A80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C38E6"/>
    <w:multiLevelType w:val="hybridMultilevel"/>
    <w:tmpl w:val="2CBA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B4650"/>
    <w:multiLevelType w:val="hybridMultilevel"/>
    <w:tmpl w:val="3CDAC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C613C5"/>
    <w:multiLevelType w:val="hybridMultilevel"/>
    <w:tmpl w:val="2DCC4F6C"/>
    <w:lvl w:ilvl="0" w:tplc="97D203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D72980"/>
    <w:multiLevelType w:val="hybridMultilevel"/>
    <w:tmpl w:val="BAB076B4"/>
    <w:lvl w:ilvl="0" w:tplc="3DC0485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306490">
    <w:abstractNumId w:val="19"/>
  </w:num>
  <w:num w:numId="2" w16cid:durableId="730083576">
    <w:abstractNumId w:val="4"/>
  </w:num>
  <w:num w:numId="3" w16cid:durableId="945963671">
    <w:abstractNumId w:val="2"/>
  </w:num>
  <w:num w:numId="4" w16cid:durableId="86388571">
    <w:abstractNumId w:val="8"/>
  </w:num>
  <w:num w:numId="5" w16cid:durableId="196546289">
    <w:abstractNumId w:val="11"/>
  </w:num>
  <w:num w:numId="6" w16cid:durableId="657927493">
    <w:abstractNumId w:val="21"/>
  </w:num>
  <w:num w:numId="7" w16cid:durableId="2067873091">
    <w:abstractNumId w:val="15"/>
  </w:num>
  <w:num w:numId="8" w16cid:durableId="685907569">
    <w:abstractNumId w:val="16"/>
  </w:num>
  <w:num w:numId="9" w16cid:durableId="1038121259">
    <w:abstractNumId w:val="3"/>
  </w:num>
  <w:num w:numId="10" w16cid:durableId="1785886876">
    <w:abstractNumId w:val="13"/>
  </w:num>
  <w:num w:numId="11" w16cid:durableId="1325358839">
    <w:abstractNumId w:val="7"/>
  </w:num>
  <w:num w:numId="12" w16cid:durableId="1199514163">
    <w:abstractNumId w:val="6"/>
  </w:num>
  <w:num w:numId="13" w16cid:durableId="473256461">
    <w:abstractNumId w:val="17"/>
  </w:num>
  <w:num w:numId="14" w16cid:durableId="608854157">
    <w:abstractNumId w:val="9"/>
  </w:num>
  <w:num w:numId="15" w16cid:durableId="1287200083">
    <w:abstractNumId w:val="1"/>
  </w:num>
  <w:num w:numId="16" w16cid:durableId="829102002">
    <w:abstractNumId w:val="18"/>
  </w:num>
  <w:num w:numId="17" w16cid:durableId="766536906">
    <w:abstractNumId w:val="14"/>
  </w:num>
  <w:num w:numId="18" w16cid:durableId="1145463842">
    <w:abstractNumId w:val="5"/>
  </w:num>
  <w:num w:numId="19" w16cid:durableId="100489660">
    <w:abstractNumId w:val="0"/>
  </w:num>
  <w:num w:numId="20" w16cid:durableId="1359427732">
    <w:abstractNumId w:val="20"/>
  </w:num>
  <w:num w:numId="21" w16cid:durableId="401493192">
    <w:abstractNumId w:val="12"/>
  </w:num>
  <w:num w:numId="22" w16cid:durableId="116601980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E5"/>
    <w:rsid w:val="000020B7"/>
    <w:rsid w:val="00003B81"/>
    <w:rsid w:val="00007FCB"/>
    <w:rsid w:val="0001213B"/>
    <w:rsid w:val="00021671"/>
    <w:rsid w:val="00025C0B"/>
    <w:rsid w:val="00025E13"/>
    <w:rsid w:val="00031F1E"/>
    <w:rsid w:val="00031F7F"/>
    <w:rsid w:val="00034C62"/>
    <w:rsid w:val="000357FD"/>
    <w:rsid w:val="00040464"/>
    <w:rsid w:val="00042654"/>
    <w:rsid w:val="00042C2F"/>
    <w:rsid w:val="0004417B"/>
    <w:rsid w:val="00044D0F"/>
    <w:rsid w:val="00047E1E"/>
    <w:rsid w:val="00053AFC"/>
    <w:rsid w:val="000541BD"/>
    <w:rsid w:val="000558EF"/>
    <w:rsid w:val="00055AF0"/>
    <w:rsid w:val="0005721D"/>
    <w:rsid w:val="00060E84"/>
    <w:rsid w:val="000632EE"/>
    <w:rsid w:val="00072EE4"/>
    <w:rsid w:val="00073D2E"/>
    <w:rsid w:val="000752B3"/>
    <w:rsid w:val="00077301"/>
    <w:rsid w:val="000823DC"/>
    <w:rsid w:val="00084F42"/>
    <w:rsid w:val="00090C7A"/>
    <w:rsid w:val="00090FDA"/>
    <w:rsid w:val="000A6231"/>
    <w:rsid w:val="000B08DB"/>
    <w:rsid w:val="000B195B"/>
    <w:rsid w:val="000B76FB"/>
    <w:rsid w:val="000C2248"/>
    <w:rsid w:val="000C79E4"/>
    <w:rsid w:val="000D3F31"/>
    <w:rsid w:val="000D6CED"/>
    <w:rsid w:val="000D7CC8"/>
    <w:rsid w:val="000E20FC"/>
    <w:rsid w:val="000E2F8C"/>
    <w:rsid w:val="000E36BA"/>
    <w:rsid w:val="000E4975"/>
    <w:rsid w:val="000F2611"/>
    <w:rsid w:val="000F2906"/>
    <w:rsid w:val="000F3285"/>
    <w:rsid w:val="000F707A"/>
    <w:rsid w:val="0010035E"/>
    <w:rsid w:val="00111945"/>
    <w:rsid w:val="00114439"/>
    <w:rsid w:val="00114CBF"/>
    <w:rsid w:val="0012066D"/>
    <w:rsid w:val="001227F4"/>
    <w:rsid w:val="00136569"/>
    <w:rsid w:val="00136973"/>
    <w:rsid w:val="0014204C"/>
    <w:rsid w:val="00155CB6"/>
    <w:rsid w:val="0016380F"/>
    <w:rsid w:val="001639CF"/>
    <w:rsid w:val="001659B5"/>
    <w:rsid w:val="00170D77"/>
    <w:rsid w:val="00176189"/>
    <w:rsid w:val="0018046F"/>
    <w:rsid w:val="00181839"/>
    <w:rsid w:val="00182674"/>
    <w:rsid w:val="001946E1"/>
    <w:rsid w:val="00194BE9"/>
    <w:rsid w:val="001A1440"/>
    <w:rsid w:val="001A2112"/>
    <w:rsid w:val="001A35C3"/>
    <w:rsid w:val="001A4FCB"/>
    <w:rsid w:val="001A62ED"/>
    <w:rsid w:val="001A6822"/>
    <w:rsid w:val="001B2928"/>
    <w:rsid w:val="001B3225"/>
    <w:rsid w:val="001B3D60"/>
    <w:rsid w:val="001B545E"/>
    <w:rsid w:val="001C49C2"/>
    <w:rsid w:val="001D6047"/>
    <w:rsid w:val="001F1DBF"/>
    <w:rsid w:val="001F1F1B"/>
    <w:rsid w:val="001F4853"/>
    <w:rsid w:val="001F51F3"/>
    <w:rsid w:val="001F74F4"/>
    <w:rsid w:val="00200BA7"/>
    <w:rsid w:val="002042DE"/>
    <w:rsid w:val="002045DD"/>
    <w:rsid w:val="00205131"/>
    <w:rsid w:val="00205395"/>
    <w:rsid w:val="002108B5"/>
    <w:rsid w:val="00217415"/>
    <w:rsid w:val="002179A8"/>
    <w:rsid w:val="00217B9A"/>
    <w:rsid w:val="00220A32"/>
    <w:rsid w:val="0022585C"/>
    <w:rsid w:val="0023446C"/>
    <w:rsid w:val="00243C44"/>
    <w:rsid w:val="002474ED"/>
    <w:rsid w:val="00255A33"/>
    <w:rsid w:val="00263517"/>
    <w:rsid w:val="00267DBC"/>
    <w:rsid w:val="00273F4F"/>
    <w:rsid w:val="00274DB0"/>
    <w:rsid w:val="00274F19"/>
    <w:rsid w:val="00277155"/>
    <w:rsid w:val="00281EB7"/>
    <w:rsid w:val="002825A0"/>
    <w:rsid w:val="00284182"/>
    <w:rsid w:val="00292C24"/>
    <w:rsid w:val="002A0CE5"/>
    <w:rsid w:val="002A17DB"/>
    <w:rsid w:val="002A2DC0"/>
    <w:rsid w:val="002B1E6E"/>
    <w:rsid w:val="002B2601"/>
    <w:rsid w:val="002B3B29"/>
    <w:rsid w:val="002B58AC"/>
    <w:rsid w:val="002C40AC"/>
    <w:rsid w:val="002C63E2"/>
    <w:rsid w:val="002D050F"/>
    <w:rsid w:val="002D2898"/>
    <w:rsid w:val="002D4AE6"/>
    <w:rsid w:val="002D777A"/>
    <w:rsid w:val="002D7FFE"/>
    <w:rsid w:val="002F3D16"/>
    <w:rsid w:val="0030674C"/>
    <w:rsid w:val="003134CC"/>
    <w:rsid w:val="003143C1"/>
    <w:rsid w:val="003215E8"/>
    <w:rsid w:val="00321B15"/>
    <w:rsid w:val="00322411"/>
    <w:rsid w:val="003224D1"/>
    <w:rsid w:val="00325332"/>
    <w:rsid w:val="00326ECD"/>
    <w:rsid w:val="003312E6"/>
    <w:rsid w:val="00333971"/>
    <w:rsid w:val="0033738E"/>
    <w:rsid w:val="00340700"/>
    <w:rsid w:val="00340B0A"/>
    <w:rsid w:val="00343098"/>
    <w:rsid w:val="003535A2"/>
    <w:rsid w:val="003576A4"/>
    <w:rsid w:val="00362676"/>
    <w:rsid w:val="0036352E"/>
    <w:rsid w:val="00364196"/>
    <w:rsid w:val="00366599"/>
    <w:rsid w:val="00375605"/>
    <w:rsid w:val="00376736"/>
    <w:rsid w:val="0039312F"/>
    <w:rsid w:val="00396E2A"/>
    <w:rsid w:val="003A3AEE"/>
    <w:rsid w:val="003B1680"/>
    <w:rsid w:val="003B1A5A"/>
    <w:rsid w:val="003B2222"/>
    <w:rsid w:val="003C227E"/>
    <w:rsid w:val="003C33B6"/>
    <w:rsid w:val="003C73F5"/>
    <w:rsid w:val="003D0739"/>
    <w:rsid w:val="003D61DD"/>
    <w:rsid w:val="003E2DDB"/>
    <w:rsid w:val="003E6B76"/>
    <w:rsid w:val="003F00D5"/>
    <w:rsid w:val="003F400F"/>
    <w:rsid w:val="00401165"/>
    <w:rsid w:val="00401B69"/>
    <w:rsid w:val="00402AF3"/>
    <w:rsid w:val="00413C38"/>
    <w:rsid w:val="004162E4"/>
    <w:rsid w:val="00416C46"/>
    <w:rsid w:val="004178DD"/>
    <w:rsid w:val="00426FDA"/>
    <w:rsid w:val="00441EF2"/>
    <w:rsid w:val="004452A5"/>
    <w:rsid w:val="0044694D"/>
    <w:rsid w:val="004471C9"/>
    <w:rsid w:val="004501E5"/>
    <w:rsid w:val="004541F8"/>
    <w:rsid w:val="004568D5"/>
    <w:rsid w:val="004634F2"/>
    <w:rsid w:val="00464150"/>
    <w:rsid w:val="004652C6"/>
    <w:rsid w:val="00465CA6"/>
    <w:rsid w:val="00467363"/>
    <w:rsid w:val="00470EBC"/>
    <w:rsid w:val="00484E78"/>
    <w:rsid w:val="004851BB"/>
    <w:rsid w:val="004868A9"/>
    <w:rsid w:val="00487A93"/>
    <w:rsid w:val="004A7F92"/>
    <w:rsid w:val="004B05D2"/>
    <w:rsid w:val="004B2AC5"/>
    <w:rsid w:val="004B5704"/>
    <w:rsid w:val="004C09E0"/>
    <w:rsid w:val="004C0F8F"/>
    <w:rsid w:val="004C352A"/>
    <w:rsid w:val="004D13BC"/>
    <w:rsid w:val="004F0AF1"/>
    <w:rsid w:val="004F0BA4"/>
    <w:rsid w:val="005008AE"/>
    <w:rsid w:val="0050767A"/>
    <w:rsid w:val="00511005"/>
    <w:rsid w:val="00513244"/>
    <w:rsid w:val="005156FA"/>
    <w:rsid w:val="00515B4F"/>
    <w:rsid w:val="005207B6"/>
    <w:rsid w:val="00522D96"/>
    <w:rsid w:val="0052551F"/>
    <w:rsid w:val="0052681A"/>
    <w:rsid w:val="00527733"/>
    <w:rsid w:val="005317D1"/>
    <w:rsid w:val="0053300A"/>
    <w:rsid w:val="0053482B"/>
    <w:rsid w:val="00551F93"/>
    <w:rsid w:val="00553A13"/>
    <w:rsid w:val="00560671"/>
    <w:rsid w:val="00563AB4"/>
    <w:rsid w:val="00580526"/>
    <w:rsid w:val="0058719F"/>
    <w:rsid w:val="00587AC8"/>
    <w:rsid w:val="005944A1"/>
    <w:rsid w:val="00595879"/>
    <w:rsid w:val="00596836"/>
    <w:rsid w:val="00596EF4"/>
    <w:rsid w:val="005A6B5E"/>
    <w:rsid w:val="005A6DAB"/>
    <w:rsid w:val="005A6E42"/>
    <w:rsid w:val="005B0058"/>
    <w:rsid w:val="005B02EA"/>
    <w:rsid w:val="005B0C66"/>
    <w:rsid w:val="005B0F34"/>
    <w:rsid w:val="005B56AC"/>
    <w:rsid w:val="005B5C92"/>
    <w:rsid w:val="005B6965"/>
    <w:rsid w:val="005C08CE"/>
    <w:rsid w:val="005C0BA7"/>
    <w:rsid w:val="005C3711"/>
    <w:rsid w:val="005C5659"/>
    <w:rsid w:val="005D0F79"/>
    <w:rsid w:val="005D2A6F"/>
    <w:rsid w:val="005D315F"/>
    <w:rsid w:val="005D714F"/>
    <w:rsid w:val="005E26F4"/>
    <w:rsid w:val="005E393F"/>
    <w:rsid w:val="005E5353"/>
    <w:rsid w:val="005E5CCB"/>
    <w:rsid w:val="005E7B7D"/>
    <w:rsid w:val="005F173A"/>
    <w:rsid w:val="005F1EE6"/>
    <w:rsid w:val="005F4252"/>
    <w:rsid w:val="005F44B7"/>
    <w:rsid w:val="00604333"/>
    <w:rsid w:val="006051A5"/>
    <w:rsid w:val="0060532F"/>
    <w:rsid w:val="006110BD"/>
    <w:rsid w:val="00613A6F"/>
    <w:rsid w:val="0062277A"/>
    <w:rsid w:val="00625292"/>
    <w:rsid w:val="00625B96"/>
    <w:rsid w:val="006448DC"/>
    <w:rsid w:val="0064606E"/>
    <w:rsid w:val="006476A1"/>
    <w:rsid w:val="00647CF5"/>
    <w:rsid w:val="006544B5"/>
    <w:rsid w:val="00657ECE"/>
    <w:rsid w:val="00663CFB"/>
    <w:rsid w:val="0067716C"/>
    <w:rsid w:val="00683C6A"/>
    <w:rsid w:val="0068645D"/>
    <w:rsid w:val="00690C64"/>
    <w:rsid w:val="00696E18"/>
    <w:rsid w:val="006A0EBE"/>
    <w:rsid w:val="006A659C"/>
    <w:rsid w:val="006A71F0"/>
    <w:rsid w:val="006B593B"/>
    <w:rsid w:val="006B7AD5"/>
    <w:rsid w:val="006C3E44"/>
    <w:rsid w:val="006E3968"/>
    <w:rsid w:val="006E53D8"/>
    <w:rsid w:val="006E6C95"/>
    <w:rsid w:val="006E7B16"/>
    <w:rsid w:val="006E7DCB"/>
    <w:rsid w:val="006F32EF"/>
    <w:rsid w:val="006F5131"/>
    <w:rsid w:val="00701002"/>
    <w:rsid w:val="00701B0F"/>
    <w:rsid w:val="007110D2"/>
    <w:rsid w:val="00711B44"/>
    <w:rsid w:val="00712444"/>
    <w:rsid w:val="00713420"/>
    <w:rsid w:val="007157DD"/>
    <w:rsid w:val="007177D8"/>
    <w:rsid w:val="00722C52"/>
    <w:rsid w:val="00733893"/>
    <w:rsid w:val="00744C05"/>
    <w:rsid w:val="00746357"/>
    <w:rsid w:val="007634CD"/>
    <w:rsid w:val="0076419A"/>
    <w:rsid w:val="0076613B"/>
    <w:rsid w:val="0076706B"/>
    <w:rsid w:val="00772515"/>
    <w:rsid w:val="00773414"/>
    <w:rsid w:val="007766F4"/>
    <w:rsid w:val="00777A2D"/>
    <w:rsid w:val="00782167"/>
    <w:rsid w:val="007847EA"/>
    <w:rsid w:val="007861EB"/>
    <w:rsid w:val="00790F7C"/>
    <w:rsid w:val="00791E97"/>
    <w:rsid w:val="00794E00"/>
    <w:rsid w:val="00797B31"/>
    <w:rsid w:val="00797DC4"/>
    <w:rsid w:val="007A059C"/>
    <w:rsid w:val="007B2815"/>
    <w:rsid w:val="007C02B8"/>
    <w:rsid w:val="007D184A"/>
    <w:rsid w:val="007D24EB"/>
    <w:rsid w:val="007E0605"/>
    <w:rsid w:val="007E7B2E"/>
    <w:rsid w:val="007F49A3"/>
    <w:rsid w:val="007F54CE"/>
    <w:rsid w:val="0080021E"/>
    <w:rsid w:val="008010A2"/>
    <w:rsid w:val="00802B9C"/>
    <w:rsid w:val="008052E6"/>
    <w:rsid w:val="008067AF"/>
    <w:rsid w:val="00806BA3"/>
    <w:rsid w:val="00812172"/>
    <w:rsid w:val="00812C34"/>
    <w:rsid w:val="00815815"/>
    <w:rsid w:val="00815FA5"/>
    <w:rsid w:val="00820905"/>
    <w:rsid w:val="0082244B"/>
    <w:rsid w:val="00825D8B"/>
    <w:rsid w:val="00831394"/>
    <w:rsid w:val="00833382"/>
    <w:rsid w:val="00833D21"/>
    <w:rsid w:val="008544E7"/>
    <w:rsid w:val="008557F3"/>
    <w:rsid w:val="00866293"/>
    <w:rsid w:val="008729DC"/>
    <w:rsid w:val="00873CBC"/>
    <w:rsid w:val="00880536"/>
    <w:rsid w:val="00884204"/>
    <w:rsid w:val="0088794A"/>
    <w:rsid w:val="00896740"/>
    <w:rsid w:val="00897AB2"/>
    <w:rsid w:val="008A034D"/>
    <w:rsid w:val="008B10AA"/>
    <w:rsid w:val="008B15B3"/>
    <w:rsid w:val="008B1E15"/>
    <w:rsid w:val="008B7050"/>
    <w:rsid w:val="008B7564"/>
    <w:rsid w:val="008B7C12"/>
    <w:rsid w:val="008D0B46"/>
    <w:rsid w:val="008D36AA"/>
    <w:rsid w:val="008D43C5"/>
    <w:rsid w:val="008D7794"/>
    <w:rsid w:val="008E152A"/>
    <w:rsid w:val="008E2DDB"/>
    <w:rsid w:val="008E38D2"/>
    <w:rsid w:val="008E3FDD"/>
    <w:rsid w:val="008E6B1B"/>
    <w:rsid w:val="008F3C7C"/>
    <w:rsid w:val="008F5C54"/>
    <w:rsid w:val="008F792C"/>
    <w:rsid w:val="009122D5"/>
    <w:rsid w:val="0091453C"/>
    <w:rsid w:val="00917D2C"/>
    <w:rsid w:val="00922259"/>
    <w:rsid w:val="0092314C"/>
    <w:rsid w:val="00930B12"/>
    <w:rsid w:val="00934672"/>
    <w:rsid w:val="0094030A"/>
    <w:rsid w:val="00941E81"/>
    <w:rsid w:val="00954BE0"/>
    <w:rsid w:val="00960543"/>
    <w:rsid w:val="00964E52"/>
    <w:rsid w:val="00964F13"/>
    <w:rsid w:val="00973473"/>
    <w:rsid w:val="00980DB4"/>
    <w:rsid w:val="00986715"/>
    <w:rsid w:val="00992FEF"/>
    <w:rsid w:val="0099496E"/>
    <w:rsid w:val="00995756"/>
    <w:rsid w:val="009977DB"/>
    <w:rsid w:val="009B1DD8"/>
    <w:rsid w:val="009B2749"/>
    <w:rsid w:val="009B5A6D"/>
    <w:rsid w:val="009C37A0"/>
    <w:rsid w:val="009D0BBF"/>
    <w:rsid w:val="009D2AA5"/>
    <w:rsid w:val="009D3332"/>
    <w:rsid w:val="009D439A"/>
    <w:rsid w:val="009D4738"/>
    <w:rsid w:val="009D73B6"/>
    <w:rsid w:val="009E0B82"/>
    <w:rsid w:val="009E4259"/>
    <w:rsid w:val="009E64A4"/>
    <w:rsid w:val="009E7A7E"/>
    <w:rsid w:val="009F4D3B"/>
    <w:rsid w:val="00A006AD"/>
    <w:rsid w:val="00A1711F"/>
    <w:rsid w:val="00A22F6C"/>
    <w:rsid w:val="00A238B7"/>
    <w:rsid w:val="00A276A1"/>
    <w:rsid w:val="00A27FAB"/>
    <w:rsid w:val="00A32128"/>
    <w:rsid w:val="00A43922"/>
    <w:rsid w:val="00A67090"/>
    <w:rsid w:val="00A74A62"/>
    <w:rsid w:val="00A760E2"/>
    <w:rsid w:val="00A8673E"/>
    <w:rsid w:val="00A91911"/>
    <w:rsid w:val="00AA0D88"/>
    <w:rsid w:val="00AA1376"/>
    <w:rsid w:val="00AA24BF"/>
    <w:rsid w:val="00AA3D81"/>
    <w:rsid w:val="00AC05E1"/>
    <w:rsid w:val="00AC15D3"/>
    <w:rsid w:val="00AC18D6"/>
    <w:rsid w:val="00AC2CB7"/>
    <w:rsid w:val="00AD4DC6"/>
    <w:rsid w:val="00AD51B7"/>
    <w:rsid w:val="00AD745A"/>
    <w:rsid w:val="00AF22E2"/>
    <w:rsid w:val="00AF3D0C"/>
    <w:rsid w:val="00AF6C37"/>
    <w:rsid w:val="00B069F0"/>
    <w:rsid w:val="00B06FFB"/>
    <w:rsid w:val="00B10CED"/>
    <w:rsid w:val="00B10F3A"/>
    <w:rsid w:val="00B2110F"/>
    <w:rsid w:val="00B22E08"/>
    <w:rsid w:val="00B24815"/>
    <w:rsid w:val="00B27A61"/>
    <w:rsid w:val="00B35B6E"/>
    <w:rsid w:val="00B45627"/>
    <w:rsid w:val="00B513D6"/>
    <w:rsid w:val="00B71DC2"/>
    <w:rsid w:val="00B7258A"/>
    <w:rsid w:val="00B80E89"/>
    <w:rsid w:val="00B91E97"/>
    <w:rsid w:val="00B93DC4"/>
    <w:rsid w:val="00B953CF"/>
    <w:rsid w:val="00BA2EA9"/>
    <w:rsid w:val="00BB020F"/>
    <w:rsid w:val="00BB383C"/>
    <w:rsid w:val="00BC15B1"/>
    <w:rsid w:val="00BC2D0D"/>
    <w:rsid w:val="00BC6713"/>
    <w:rsid w:val="00BC7D22"/>
    <w:rsid w:val="00BD27FD"/>
    <w:rsid w:val="00BD7BE3"/>
    <w:rsid w:val="00BE245F"/>
    <w:rsid w:val="00BF0C51"/>
    <w:rsid w:val="00BF3045"/>
    <w:rsid w:val="00BF7BF8"/>
    <w:rsid w:val="00BF7F63"/>
    <w:rsid w:val="00C1299B"/>
    <w:rsid w:val="00C12C87"/>
    <w:rsid w:val="00C1357E"/>
    <w:rsid w:val="00C136B1"/>
    <w:rsid w:val="00C146A3"/>
    <w:rsid w:val="00C146A9"/>
    <w:rsid w:val="00C20777"/>
    <w:rsid w:val="00C24E95"/>
    <w:rsid w:val="00C30682"/>
    <w:rsid w:val="00C3395E"/>
    <w:rsid w:val="00C40C6C"/>
    <w:rsid w:val="00C447B2"/>
    <w:rsid w:val="00C451B7"/>
    <w:rsid w:val="00C47677"/>
    <w:rsid w:val="00C47C46"/>
    <w:rsid w:val="00C519B8"/>
    <w:rsid w:val="00C5308B"/>
    <w:rsid w:val="00C530EC"/>
    <w:rsid w:val="00C550B0"/>
    <w:rsid w:val="00C5713F"/>
    <w:rsid w:val="00C61FEE"/>
    <w:rsid w:val="00C66517"/>
    <w:rsid w:val="00C70276"/>
    <w:rsid w:val="00C74B2D"/>
    <w:rsid w:val="00C80D98"/>
    <w:rsid w:val="00C8195A"/>
    <w:rsid w:val="00C859E7"/>
    <w:rsid w:val="00C959AA"/>
    <w:rsid w:val="00CA00D1"/>
    <w:rsid w:val="00CA20E4"/>
    <w:rsid w:val="00CA6528"/>
    <w:rsid w:val="00CB7A3E"/>
    <w:rsid w:val="00CC34B9"/>
    <w:rsid w:val="00CC36AF"/>
    <w:rsid w:val="00CC4521"/>
    <w:rsid w:val="00CD0411"/>
    <w:rsid w:val="00CD0AF1"/>
    <w:rsid w:val="00CD4EFE"/>
    <w:rsid w:val="00CE0950"/>
    <w:rsid w:val="00CF7541"/>
    <w:rsid w:val="00D01C4E"/>
    <w:rsid w:val="00D05E60"/>
    <w:rsid w:val="00D07665"/>
    <w:rsid w:val="00D07B7F"/>
    <w:rsid w:val="00D1685A"/>
    <w:rsid w:val="00D16912"/>
    <w:rsid w:val="00D23C9C"/>
    <w:rsid w:val="00D2583A"/>
    <w:rsid w:val="00D36AB8"/>
    <w:rsid w:val="00D4324A"/>
    <w:rsid w:val="00D45512"/>
    <w:rsid w:val="00D45A6C"/>
    <w:rsid w:val="00D55110"/>
    <w:rsid w:val="00D56CFC"/>
    <w:rsid w:val="00D5794F"/>
    <w:rsid w:val="00D57DE9"/>
    <w:rsid w:val="00D608AF"/>
    <w:rsid w:val="00D6535F"/>
    <w:rsid w:val="00D6760A"/>
    <w:rsid w:val="00D70396"/>
    <w:rsid w:val="00D70418"/>
    <w:rsid w:val="00D70FF6"/>
    <w:rsid w:val="00D73AAC"/>
    <w:rsid w:val="00D73BCF"/>
    <w:rsid w:val="00D74B2A"/>
    <w:rsid w:val="00D77541"/>
    <w:rsid w:val="00D87512"/>
    <w:rsid w:val="00D87AA0"/>
    <w:rsid w:val="00D95037"/>
    <w:rsid w:val="00D95E90"/>
    <w:rsid w:val="00DA06F9"/>
    <w:rsid w:val="00DB0BCD"/>
    <w:rsid w:val="00DB4402"/>
    <w:rsid w:val="00DB6150"/>
    <w:rsid w:val="00DC133E"/>
    <w:rsid w:val="00DC44DA"/>
    <w:rsid w:val="00DC75E7"/>
    <w:rsid w:val="00DD631E"/>
    <w:rsid w:val="00DE3954"/>
    <w:rsid w:val="00DE3DE5"/>
    <w:rsid w:val="00DE4E6A"/>
    <w:rsid w:val="00DF1EC2"/>
    <w:rsid w:val="00DF2300"/>
    <w:rsid w:val="00DF23BE"/>
    <w:rsid w:val="00DF447D"/>
    <w:rsid w:val="00DF6F4F"/>
    <w:rsid w:val="00DF7A08"/>
    <w:rsid w:val="00E00B56"/>
    <w:rsid w:val="00E012AB"/>
    <w:rsid w:val="00E053A5"/>
    <w:rsid w:val="00E0688D"/>
    <w:rsid w:val="00E06A2B"/>
    <w:rsid w:val="00E14143"/>
    <w:rsid w:val="00E15304"/>
    <w:rsid w:val="00E17B45"/>
    <w:rsid w:val="00E23619"/>
    <w:rsid w:val="00E27417"/>
    <w:rsid w:val="00E43037"/>
    <w:rsid w:val="00E500F1"/>
    <w:rsid w:val="00E5147D"/>
    <w:rsid w:val="00E605D8"/>
    <w:rsid w:val="00E628F7"/>
    <w:rsid w:val="00E65719"/>
    <w:rsid w:val="00E65751"/>
    <w:rsid w:val="00E719E3"/>
    <w:rsid w:val="00E8742B"/>
    <w:rsid w:val="00E9006B"/>
    <w:rsid w:val="00E948AE"/>
    <w:rsid w:val="00E94C5F"/>
    <w:rsid w:val="00E9591D"/>
    <w:rsid w:val="00EB48B6"/>
    <w:rsid w:val="00EB72E5"/>
    <w:rsid w:val="00EC662D"/>
    <w:rsid w:val="00EC6FC1"/>
    <w:rsid w:val="00ED033B"/>
    <w:rsid w:val="00ED052E"/>
    <w:rsid w:val="00ED1ECA"/>
    <w:rsid w:val="00ED2695"/>
    <w:rsid w:val="00ED3FC7"/>
    <w:rsid w:val="00ED4134"/>
    <w:rsid w:val="00ED7663"/>
    <w:rsid w:val="00EE2CCF"/>
    <w:rsid w:val="00EE4770"/>
    <w:rsid w:val="00EE7B91"/>
    <w:rsid w:val="00EF37CA"/>
    <w:rsid w:val="00F015B4"/>
    <w:rsid w:val="00F029CD"/>
    <w:rsid w:val="00F04627"/>
    <w:rsid w:val="00F1287B"/>
    <w:rsid w:val="00F13A87"/>
    <w:rsid w:val="00F1485A"/>
    <w:rsid w:val="00F1700A"/>
    <w:rsid w:val="00F239F6"/>
    <w:rsid w:val="00F252DC"/>
    <w:rsid w:val="00F31A38"/>
    <w:rsid w:val="00F322FD"/>
    <w:rsid w:val="00F463D4"/>
    <w:rsid w:val="00F506DF"/>
    <w:rsid w:val="00F53934"/>
    <w:rsid w:val="00F55452"/>
    <w:rsid w:val="00F554DD"/>
    <w:rsid w:val="00F570AB"/>
    <w:rsid w:val="00F61D20"/>
    <w:rsid w:val="00F624E5"/>
    <w:rsid w:val="00F650C0"/>
    <w:rsid w:val="00F67582"/>
    <w:rsid w:val="00F75F7B"/>
    <w:rsid w:val="00F770FF"/>
    <w:rsid w:val="00F80E75"/>
    <w:rsid w:val="00F82D30"/>
    <w:rsid w:val="00F83ABA"/>
    <w:rsid w:val="00F83AC1"/>
    <w:rsid w:val="00F90728"/>
    <w:rsid w:val="00F90761"/>
    <w:rsid w:val="00F92F8E"/>
    <w:rsid w:val="00F96246"/>
    <w:rsid w:val="00FA3F9A"/>
    <w:rsid w:val="00FB5264"/>
    <w:rsid w:val="00FB5E8B"/>
    <w:rsid w:val="00FB6469"/>
    <w:rsid w:val="00FD571C"/>
    <w:rsid w:val="00FD7256"/>
    <w:rsid w:val="00FE21E6"/>
    <w:rsid w:val="00FE3973"/>
    <w:rsid w:val="00FE527D"/>
    <w:rsid w:val="27CE01E6"/>
    <w:rsid w:val="6DA1F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0BF9500"/>
  <w15:docId w15:val="{3B2053E5-FBD3-4D1E-BCE5-66B56196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F7B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1E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1EF2"/>
  </w:style>
  <w:style w:type="paragraph" w:styleId="Header">
    <w:name w:val="header"/>
    <w:basedOn w:val="Normal"/>
    <w:rsid w:val="00441E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4C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84A"/>
    <w:pPr>
      <w:ind w:left="720"/>
    </w:pPr>
  </w:style>
  <w:style w:type="character" w:styleId="Emphasis">
    <w:name w:val="Emphasis"/>
    <w:qFormat/>
    <w:rsid w:val="0080021E"/>
    <w:rPr>
      <w:i/>
      <w:iCs/>
    </w:rPr>
  </w:style>
  <w:style w:type="paragraph" w:customStyle="1" w:styleId="Default">
    <w:name w:val="Default"/>
    <w:rsid w:val="008805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uiPriority w:val="99"/>
    <w:rsid w:val="00C4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1B7"/>
    <w:rPr>
      <w:sz w:val="20"/>
    </w:rPr>
  </w:style>
  <w:style w:type="character" w:customStyle="1" w:styleId="CommentTextChar">
    <w:name w:val="Comment Text Char"/>
    <w:link w:val="CommentText"/>
    <w:uiPriority w:val="99"/>
    <w:rsid w:val="00C451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451B7"/>
    <w:rPr>
      <w:b/>
      <w:bCs/>
    </w:rPr>
  </w:style>
  <w:style w:type="character" w:customStyle="1" w:styleId="CommentSubjectChar">
    <w:name w:val="Comment Subject Char"/>
    <w:link w:val="CommentSubject"/>
    <w:rsid w:val="00C451B7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BF7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396E2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DF736834E184CA770B9752D6469F5" ma:contentTypeVersion="12" ma:contentTypeDescription="Create a new document." ma:contentTypeScope="" ma:versionID="98a3e9777ab89b4469e4889171c68f45">
  <xsd:schema xmlns:xsd="http://www.w3.org/2001/XMLSchema" xmlns:xs="http://www.w3.org/2001/XMLSchema" xmlns:p="http://schemas.microsoft.com/office/2006/metadata/properties" xmlns:ns3="4c1b20b4-57e2-4f05-87d3-2b404cb76759" xmlns:ns4="6ec375d6-7841-4d31-9c45-91da55a5ec31" targetNamespace="http://schemas.microsoft.com/office/2006/metadata/properties" ma:root="true" ma:fieldsID="45f637288df322c3977dfcbb6a64a280" ns3:_="" ns4:_="">
    <xsd:import namespace="4c1b20b4-57e2-4f05-87d3-2b404cb76759"/>
    <xsd:import namespace="6ec375d6-7841-4d31-9c45-91da55a5e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20b4-57e2-4f05-87d3-2b404cb76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375d6-7841-4d31-9c45-91da55a5e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456C-B67F-44A5-A78B-0D2FC9522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b20b4-57e2-4f05-87d3-2b404cb76759"/>
    <ds:schemaRef ds:uri="6ec375d6-7841-4d31-9c45-91da55a5e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B792D-C8D9-45E3-88A5-35EBF856A0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C3FDC-BD41-4466-A258-E9A9074ED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E08DF-F3CC-4F3B-8D3C-F017B72BD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English Partnerships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subject/>
  <dc:creator>HCA</dc:creator>
  <cp:keywords/>
  <dc:description/>
  <cp:lastModifiedBy>Yasemin Gillett</cp:lastModifiedBy>
  <cp:revision>3</cp:revision>
  <cp:lastPrinted>2024-12-03T08:51:00Z</cp:lastPrinted>
  <dcterms:created xsi:type="dcterms:W3CDTF">2024-11-21T15:24:00Z</dcterms:created>
  <dcterms:modified xsi:type="dcterms:W3CDTF">2024-12-03T08:54:00Z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8c5ffc05-4570-4080-bca6-c8834e51bfef</vt:lpwstr>
  </property>
  <property fmtid="{D5CDD505-2E9C-101B-9397-08002B2CF9AE}" pid="3" name="HCADescriptor - Protect">
    <vt:lpwstr>POLICY</vt:lpwstr>
  </property>
  <property fmtid="{D5CDD505-2E9C-101B-9397-08002B2CF9AE}" pid="4" name="HCAGPMS">
    <vt:lpwstr>OFFICIAL</vt:lpwstr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iteId">
    <vt:lpwstr>faa8e269-0811-4538-82e7-4d29009219bf</vt:lpwstr>
  </property>
  <property fmtid="{D5CDD505-2E9C-101B-9397-08002B2CF9AE}" pid="7" name="MSIP_Label_727fb50e-81d5-40a5-b712-4eff31972ce4_Owner">
    <vt:lpwstr>Dennis.Chambers@rsh.gov.uk</vt:lpwstr>
  </property>
  <property fmtid="{D5CDD505-2E9C-101B-9397-08002B2CF9AE}" pid="8" name="MSIP_Label_727fb50e-81d5-40a5-b712-4eff31972ce4_SetDate">
    <vt:lpwstr>2020-01-13T10:59:58.0942537Z</vt:lpwstr>
  </property>
  <property fmtid="{D5CDD505-2E9C-101B-9397-08002B2CF9AE}" pid="9" name="MSIP_Label_727fb50e-81d5-40a5-b712-4eff31972ce4_Name">
    <vt:lpwstr>Official</vt:lpwstr>
  </property>
  <property fmtid="{D5CDD505-2E9C-101B-9397-08002B2CF9AE}" pid="10" name="MSIP_Label_727fb50e-81d5-40a5-b712-4eff31972ce4_Application">
    <vt:lpwstr>Microsoft Azure Information Protection</vt:lpwstr>
  </property>
  <property fmtid="{D5CDD505-2E9C-101B-9397-08002B2CF9AE}" pid="11" name="MSIP_Label_727fb50e-81d5-40a5-b712-4eff31972ce4_ActionId">
    <vt:lpwstr>4d2415e7-358c-4547-86ff-26b72ccb913e</vt:lpwstr>
  </property>
  <property fmtid="{D5CDD505-2E9C-101B-9397-08002B2CF9AE}" pid="12" name="MSIP_Label_727fb50e-81d5-40a5-b712-4eff31972ce4_Extended_MSFT_Method">
    <vt:lpwstr>Automatic</vt:lpwstr>
  </property>
  <property fmtid="{D5CDD505-2E9C-101B-9397-08002B2CF9AE}" pid="13" name="Sensitivity">
    <vt:lpwstr>Official</vt:lpwstr>
  </property>
  <property fmtid="{D5CDD505-2E9C-101B-9397-08002B2CF9AE}" pid="14" name="ContentTypeId">
    <vt:lpwstr>0x0101002E8DF736834E184CA770B9752D6469F5</vt:lpwstr>
  </property>
</Properties>
</file>